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5720-5_4seq1.xml.htm"/>
      <w:bookmarkStart w:id="1" w:name="kstm26257205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Wang Bo Ethan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BUILDING 2, NO.8 BEICHEN WEST ROAD,</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CHAOYANG DISTRICT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BEIJING</w:t>
                  </w:r>
                </w:p>
              </w:tc>
              <w:tc>
                <w:tcPr>
                  <w:tcW w:w="115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CHINA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Yuanbao Inc.</w:t>
              </w:r>
            </w:hyperlink>
            <w:r>
              <w:rPr/>
              <w:t xml:space="preserve"> [ </w:t>
            </w:r>
            <w:r>
              <w:rPr>
                <w:rFonts w:ascii="Times;serif" w:hAnsi="Times;serif"/>
                <w:color w:val="0000FF"/>
                <w:sz w:val="24"/>
                <w:shd w:fill="FFFFFF" w:val="clear"/>
              </w:rPr>
              <w:t>YB</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Technology Officer</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09/16/2026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854" w:type="dxa"/>
        <w:jc w:val="left"/>
        <w:tblInd w:w="-7" w:type="dxa"/>
        <w:tblLayout w:type="fixed"/>
        <w:tblCellMar>
          <w:top w:w="60" w:type="dxa"/>
          <w:left w:w="60" w:type="dxa"/>
          <w:bottom w:w="60" w:type="dxa"/>
          <w:right w:w="60" w:type="dxa"/>
        </w:tblCellMar>
      </w:tblPr>
      <w:tblGrid>
        <w:gridCol w:w="1040"/>
        <w:gridCol w:w="861"/>
        <w:gridCol w:w="891"/>
        <w:gridCol w:w="771"/>
        <w:gridCol w:w="591"/>
        <w:gridCol w:w="300"/>
        <w:gridCol w:w="816"/>
        <w:gridCol w:w="711"/>
        <w:gridCol w:w="906"/>
        <w:gridCol w:w="801"/>
        <w:gridCol w:w="831"/>
        <w:gridCol w:w="921"/>
        <w:gridCol w:w="801"/>
        <w:gridCol w:w="936"/>
        <w:gridCol w:w="831"/>
        <w:gridCol w:w="846"/>
      </w:tblGrid>
      <w:tr>
        <w:trPr>
          <w:tblHeader w:val="true"/>
        </w:trPr>
        <w:tc>
          <w:tcPr>
            <w:tcW w:w="128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4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4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3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4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Options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90,000</w:t>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09/16/2036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4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120,000</w:t>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210,000</w:t>
            </w:r>
            <w:r>
              <w:rPr>
                <w:rFonts w:ascii="Times;serif" w:hAnsi="Times;serif"/>
                <w:color w:val="008000"/>
                <w:position w:val="7"/>
                <w:sz w:val="16"/>
                <w:sz w:val="20"/>
                <w:shd w:fill="FFFFFF" w:val="clear"/>
              </w:rPr>
              <w:t>(2)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4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36,000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174,000</w:t>
            </w:r>
            <w:r>
              <w:rPr>
                <w:rFonts w:ascii="Times;serif" w:hAnsi="Times;serif"/>
                <w:color w:val="008000"/>
                <w:position w:val="7"/>
                <w:sz w:val="16"/>
                <w:sz w:val="20"/>
                <w:shd w:fill="FFFFFF" w:val="clear"/>
              </w:rPr>
              <w:t>(2)(3)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4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American Depositary Shares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6,000</w:t>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4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American Depositary Shares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1,291</w:t>
            </w:r>
            <w:r>
              <w:rPr>
                <w:rFonts w:ascii="Times;serif" w:hAnsi="Times;serif"/>
                <w:color w:val="008000"/>
                <w:position w:val="7"/>
                <w:sz w:val="16"/>
                <w:sz w:val="20"/>
                <w:shd w:fill="FFFFFF" w:val="clear"/>
              </w:rPr>
              <w:t>(4)</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7,746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12.44</w:t>
            </w:r>
            <w:r>
              <w:rPr>
                <w:rFonts w:ascii="Times;serif" w:hAnsi="Times;serif"/>
                <w:color w:val="008000"/>
                <w:position w:val="7"/>
                <w:sz w:val="16"/>
                <w:sz w:val="20"/>
                <w:shd w:fill="FFFFFF" w:val="clear"/>
              </w:rPr>
              <w:t>(4)</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4,709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options are expected to vest in four equal installments of 25% of the total grant on each of September 16, 2027, September 16, 2028, September 16, 2029 and September 16, 2030. Each Option entitles the holder to purchase one share of the Issuer's Class A ordinary share upon exercising.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restricted share units (the "RSUs") are expected to vest in eight installments of 30%, 15%, 15%, 10%, 10%, 10%, 5% and 5% of the total grant on each of September 16, 2026 (the "Vesting"), December 16, 2026, March 16, 2027, June 16, 2027, September 16, 2027, December 16, 2027, March 16, 2028 and June 16, 2028, respectively. Each RSU represents a contingent right to receive one share of the Issuer's Class A ordinary share upon vesting. The restricted share units do not have expiration dates.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American Depositary Share ("ADS") acquired upon the Vesting. Each ADS is convertible at any time, at the holder's election, into six (6) Class A Ordinary Shares, with a par value of US$0.0001 per share, of Yuanbao Inc. The ADSs have no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ADSs withheld to satisfy applicable tax withholding obligations in connection with the Vesting. The number of ADSs reported as withheld is estimated based on the closing price of the Company's ADSs of US$12.44 on September 16, 2026, and will be revised by amendment, if necessary, to reflect the actual number of ADSs withheld.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Wang Bo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16706" TargetMode="External"/><Relationship Id="rId5" Type="http://schemas.openxmlformats.org/officeDocument/2006/relationships/hyperlink" Target="http://www.sec.gov/cgi-bin/browse-edgar?action=getcompany&amp;CIK=000199552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881</Words>
  <Characters>4639</Characters>
  <CharactersWithSpaces>5397</CharactersWithSpaces>
  <Paragraphs>152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