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720-1_4seq1.xml.htm"/>
      <w:bookmarkStart w:id="1" w:name="kstm262572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Fang Rui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4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816"/>
        <w:gridCol w:w="816"/>
        <w:gridCol w:w="906"/>
        <w:gridCol w:w="801"/>
        <w:gridCol w:w="831"/>
        <w:gridCol w:w="921"/>
        <w:gridCol w:w="801"/>
        <w:gridCol w:w="1026"/>
        <w:gridCol w:w="831"/>
        <w:gridCol w:w="846"/>
      </w:tblGrid>
      <w:tr>
        <w:trPr>
          <w:tblHeader w:val="true"/>
        </w:trPr>
        <w:tc>
          <w:tcPr>
            <w:tcW w:w="130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1,200,000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1,020,000</w:t>
            </w:r>
            <w:r>
              <w:rPr>
                <w:rFonts w:ascii="Times;serif" w:hAnsi="Times;serif"/>
                <w:color w:val="008000"/>
                <w:position w:val="7"/>
                <w:sz w:val="16"/>
                <w:sz w:val="20"/>
                <w:shd w:fill="FFFFFF" w:val="clear"/>
              </w:rPr>
              <w:t>(2)(3)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14,850</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12.44</w:t>
            </w:r>
            <w:r>
              <w:rPr>
                <w:rFonts w:ascii="Times;serif" w:hAnsi="Times;serif"/>
                <w:color w:val="008000"/>
                <w:position w:val="7"/>
                <w:sz w:val="16"/>
                <w:sz w:val="20"/>
                <w:shd w:fill="FFFFFF" w:val="clear"/>
              </w:rPr>
              <w:t>(4)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are expected to vest in four equal installments of 25% of the total grant on each of September 16, 2027, September 16, 2028, September 16, 2029 and September 16, 2030. Each Option entitles the holder to purchase one share of the Issuer's Class A ordinary share upon exercising.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(the "RSUs") are expected to vest in eight installments of 30%, 15%, 15%, 10%, 10%, 10%, 5% and 5% of the total grant on each of September 16, 2026 (the "Vesting"), December 16, 2026, March 16, 2027, June 16, 2027, September 16, 2027, December 16, 2027, March 16, 2028 and June 16, 2028, respectively. Each RSU represents a contingent right to receive one share of the Issuer's Class A ordinary share upon vesting. The restricted share units do not have expiration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American Depositary Share ("ADS") acquired upon the Vesting.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ADSs withheld to satisfy applicable tax withholding obligations in connection with the Vesting. The number of ADSs reported as withheld is estimated based on the closing price of the Company's ADSs of US$12.44 on September 16, 2026, and will be revised by amendment, if necessary, to reflect the actual number of ADSs withheld.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Fang Rui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380"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4652</Characters>
  <CharactersWithSpaces>5409</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