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For the month of March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001-42616</w:t>
      </w:r>
    </w:p>
    <w:p>
      <w:pPr>
        <w:spacing w:after="0" w:line="20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20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Building 2, No.8 Beichen West Road,</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Chaoyang District, Beijing, 100101</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The People’s Republic of China</w:t>
      </w:r>
    </w:p>
    <w:p>
      <w:pPr>
        <w:jc w:val="center"/>
        <w:ind w:right="-239"/>
        <w:spacing w:after="0" w:line="231" w:lineRule="auto"/>
        <w:rPr>
          <w:sz w:val="20"/>
          <w:szCs w:val="20"/>
          <w:color w:val="auto"/>
        </w:rPr>
      </w:pPr>
      <w:r>
        <w:rPr>
          <w:rFonts w:ascii="Times New Roman" w:cs="Times New Roman" w:eastAsia="Times New Roman" w:hAnsi="Times New Roman"/>
          <w:sz w:val="22"/>
          <w:szCs w:val="22"/>
          <w:b w:val="1"/>
          <w:bCs w:val="1"/>
          <w:color w:val="auto"/>
        </w:rPr>
        <w:t>+86 10 64849901</w:t>
      </w: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ind w:left="5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Yuanbao Inc. Announces Fourth Quarter and Fiscal Year 2025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37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Yuanbao Inc.</w:t>
      </w:r>
    </w:p>
    <w:p>
      <w:pPr>
        <w:spacing w:after="0" w:line="216" w:lineRule="exact"/>
        <w:rPr>
          <w:sz w:val="20"/>
          <w:szCs w:val="20"/>
          <w:color w:val="auto"/>
        </w:rPr>
      </w:pPr>
    </w:p>
    <w:tbl>
      <w:tblPr>
        <w:tblLayout w:type="fixed"/>
        <w:tblInd w:w="64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Huirui Wan</w:t>
            </w:r>
          </w:p>
        </w:tc>
        <w:tc>
          <w:tcPr>
            <w:tcW w:w="440" w:type="dxa"/>
            <w:vAlign w:val="bottom"/>
          </w:tcPr>
          <w:p>
            <w:pPr>
              <w:spacing w:after="0"/>
              <w:rPr>
                <w:sz w:val="17"/>
                <w:szCs w:val="17"/>
                <w:color w:val="auto"/>
              </w:rPr>
            </w:pPr>
          </w:p>
        </w:tc>
      </w:tr>
      <w:tr>
        <w:trPr>
          <w:trHeight w:val="4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Huirui Wan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Yuanbao Inc. Announces Fourth Quarter and Fiscal Year 2025 Unaudited Financial Results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BEIJING, March 18, 2026 (GLOBE NEWSWIRE) -- Yuanbao Inc. (“Yuanbao” or the “Company”) (NASDAQ: YB), a leading technology-driven online insurance distributor in China, today announced its unaudited financial results for the fourth quarter and fiscal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and Fiscal Year 2025 Financial and Operational Highlights</w:t>
      </w:r>
    </w:p>
    <w:p>
      <w:pPr>
        <w:spacing w:after="0" w:line="206" w:lineRule="exact"/>
        <w:rPr>
          <w:sz w:val="20"/>
          <w:szCs w:val="20"/>
          <w:color w:val="auto"/>
        </w:rPr>
      </w:pPr>
    </w:p>
    <w:p>
      <w:pPr>
        <w:ind w:left="540" w:right="80"/>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Total revenues </w:t>
      </w:r>
      <w:r>
        <w:rPr>
          <w:rFonts w:ascii="Times New Roman" w:cs="Times New Roman" w:eastAsia="Times New Roman" w:hAnsi="Times New Roman"/>
          <w:sz w:val="22"/>
          <w:szCs w:val="22"/>
          <w:color w:val="auto"/>
        </w:rPr>
        <w:t xml:space="preserve">in the fourth quarter of 2025 were RMB1,175.3 million (US$168.1 million), representing a 32.2% year-over-year increase from RMB888.8 million in the same period of 2024. </w:t>
      </w:r>
      <w:r>
        <w:rPr>
          <w:rFonts w:ascii="Times New Roman" w:cs="Times New Roman" w:eastAsia="Times New Roman" w:hAnsi="Times New Roman"/>
          <w:sz w:val="22"/>
          <w:szCs w:val="22"/>
          <w:b w:val="1"/>
          <w:bCs w:val="1"/>
          <w:color w:val="auto"/>
        </w:rPr>
        <w:t>Total revenues</w:t>
      </w:r>
      <w:r>
        <w:rPr>
          <w:rFonts w:ascii="Times New Roman" w:cs="Times New Roman" w:eastAsia="Times New Roman" w:hAnsi="Times New Roman"/>
          <w:sz w:val="22"/>
          <w:szCs w:val="22"/>
          <w:color w:val="auto"/>
        </w:rPr>
        <w:t xml:space="preserve"> in 2025 were RMB4,373.2 million (US$625.4 million), representing a 33.1% year-over-year increase from RMB3,284.5 million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Net income </w:t>
      </w:r>
      <w:r>
        <w:rPr>
          <w:rFonts w:ascii="Times New Roman" w:cs="Times New Roman" w:eastAsia="Times New Roman" w:hAnsi="Times New Roman"/>
          <w:sz w:val="22"/>
          <w:szCs w:val="22"/>
          <w:color w:val="auto"/>
        </w:rPr>
        <w:t>in the fourth quarter of 2025 was RMB337.4 million (US$48.2 million), representing a 15.4% year-over-year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increase from RMB292.3 million in the same period of 2024. </w:t>
      </w:r>
      <w:r>
        <w:rPr>
          <w:rFonts w:ascii="Times New Roman" w:cs="Times New Roman" w:eastAsia="Times New Roman" w:hAnsi="Times New Roman"/>
          <w:sz w:val="22"/>
          <w:szCs w:val="22"/>
          <w:b w:val="1"/>
          <w:bCs w:val="1"/>
          <w:color w:val="auto"/>
        </w:rPr>
        <w:t>Net income</w:t>
      </w:r>
      <w:r>
        <w:rPr>
          <w:rFonts w:ascii="Times New Roman" w:cs="Times New Roman" w:eastAsia="Times New Roman" w:hAnsi="Times New Roman"/>
          <w:sz w:val="22"/>
          <w:szCs w:val="22"/>
          <w:color w:val="auto"/>
        </w:rPr>
        <w:t xml:space="preserve"> in 2025 was RMB1,307.5 million (US$187.0 million), representing a 51.0% year-over-year increase from RMB865.8 million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2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Net income margin </w:t>
      </w:r>
      <w:r>
        <w:rPr>
          <w:rFonts w:ascii="Times New Roman" w:cs="Times New Roman" w:eastAsia="Times New Roman" w:hAnsi="Times New Roman"/>
          <w:sz w:val="22"/>
          <w:szCs w:val="22"/>
          <w:color w:val="auto"/>
        </w:rPr>
        <w:t>in the fourth quarter of 2025 was 28.7%, compared with 32.9% in the same period of 2024.</w:t>
      </w:r>
      <w:r>
        <w:rPr>
          <w:rFonts w:ascii="Times New Roman" w:cs="Times New Roman" w:eastAsia="Times New Roman" w:hAnsi="Times New Roman"/>
          <w:sz w:val="22"/>
          <w:szCs w:val="22"/>
          <w:b w:val="1"/>
          <w:bCs w:val="1"/>
          <w:color w:val="auto"/>
        </w:rPr>
        <w:t xml:space="preserve"> Net income margin </w:t>
      </w:r>
      <w:r>
        <w:rPr>
          <w:rFonts w:ascii="Times New Roman" w:cs="Times New Roman" w:eastAsia="Times New Roman" w:hAnsi="Times New Roman"/>
          <w:sz w:val="22"/>
          <w:szCs w:val="22"/>
          <w:color w:val="auto"/>
        </w:rPr>
        <w:t>in 2025 was 29.9%, compared with 26.4%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0"/>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Net operating cash inflow </w:t>
      </w:r>
      <w:r>
        <w:rPr>
          <w:rFonts w:ascii="Times New Roman" w:cs="Times New Roman" w:eastAsia="Times New Roman" w:hAnsi="Times New Roman"/>
          <w:sz w:val="22"/>
          <w:szCs w:val="22"/>
          <w:color w:val="auto"/>
        </w:rPr>
        <w:t>in the fourth quarter of 2025 was RMB290.7 million (US$41.6 million).</w:t>
      </w:r>
      <w:r>
        <w:rPr>
          <w:rFonts w:ascii="Times New Roman" w:cs="Times New Roman" w:eastAsia="Times New Roman" w:hAnsi="Times New Roman"/>
          <w:sz w:val="22"/>
          <w:szCs w:val="22"/>
          <w:b w:val="1"/>
          <w:bCs w:val="1"/>
          <w:color w:val="auto"/>
        </w:rPr>
        <w:t xml:space="preserve"> Net operating cash inflow </w:t>
      </w:r>
      <w:r>
        <w:rPr>
          <w:rFonts w:ascii="Times New Roman" w:cs="Times New Roman" w:eastAsia="Times New Roman" w:hAnsi="Times New Roman"/>
          <w:sz w:val="22"/>
          <w:szCs w:val="22"/>
          <w:color w:val="auto"/>
        </w:rPr>
        <w:t>in 2025 was RMB1,495.1 million (US$213.8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09" w:lineRule="auto"/>
        <w:rPr>
          <w:sz w:val="20"/>
          <w:szCs w:val="20"/>
          <w:color w:val="auto"/>
        </w:rPr>
      </w:pPr>
      <w:r>
        <w:rPr>
          <w:rFonts w:ascii="Times New Roman" w:cs="Times New Roman" w:eastAsia="Times New Roman" w:hAnsi="Times New Roman"/>
          <w:sz w:val="22"/>
          <w:szCs w:val="22"/>
          <w:b w:val="1"/>
          <w:bCs w:val="1"/>
          <w:color w:val="auto"/>
        </w:rPr>
        <w:t>Number of new policies</w:t>
      </w:r>
      <w:r>
        <w:rPr>
          <w:rFonts w:ascii="Times New Roman" w:cs="Times New Roman" w:eastAsia="Times New Roman" w:hAnsi="Times New Roman"/>
          <w:sz w:val="35"/>
          <w:szCs w:val="35"/>
          <w:b w:val="1"/>
          <w:bCs w:val="1"/>
          <w:color w:val="auto"/>
          <w:vertAlign w:val="superscript"/>
        </w:rPr>
        <w:t>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the fourth quarter of 2025 was approximately 7.9 million, representing a 34.5% year-over-year increase from approximately 5.9 million in the same period of 2024. </w:t>
      </w:r>
      <w:r>
        <w:rPr>
          <w:rFonts w:ascii="Times New Roman" w:cs="Times New Roman" w:eastAsia="Times New Roman" w:hAnsi="Times New Roman"/>
          <w:sz w:val="22"/>
          <w:szCs w:val="22"/>
          <w:b w:val="1"/>
          <w:bCs w:val="1"/>
          <w:color w:val="auto"/>
        </w:rPr>
        <w:t>Number of new policies</w:t>
      </w:r>
      <w:r>
        <w:rPr>
          <w:rFonts w:ascii="Times New Roman" w:cs="Times New Roman" w:eastAsia="Times New Roman" w:hAnsi="Times New Roman"/>
          <w:sz w:val="22"/>
          <w:szCs w:val="22"/>
          <w:color w:val="auto"/>
        </w:rPr>
        <w:t xml:space="preserve"> in 2025 was approximately 30.7 million, representing a 36.7% year-over-year increase from approximately 22.4 million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-421005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04" w:lineRule="exact"/>
        <w:rPr>
          <w:sz w:val="20"/>
          <w:szCs w:val="20"/>
          <w:color w:val="auto"/>
        </w:rPr>
      </w:pPr>
    </w:p>
    <w:p>
      <w:pPr>
        <w:ind w:left="540"/>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Large Language Model (LLM) Platform. </w:t>
      </w:r>
      <w:r>
        <w:rPr>
          <w:rFonts w:ascii="Times New Roman" w:cs="Times New Roman" w:eastAsia="Times New Roman" w:hAnsi="Times New Roman"/>
          <w:sz w:val="22"/>
          <w:szCs w:val="22"/>
          <w:color w:val="auto"/>
        </w:rPr>
        <w:t>During the fourth quarter, the Company continued to advance the upgrade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unified development of its LLM platform. Its AI capabilities further matured and entered the scaled deployment phase. Through domain-specific augmented training and knowledge base integration, the model’s performance continued to improve in scenarios such as insurance-domain Q&amp;A, multi-turn dialogue, and policy interpretation. The Company refined its unified model-serving architecture and multi-model routing mechanism, enhancing system stability and integration efficiency while reducing AI application development costs on the business side. The LLM platform now stably supports multiple core scenarios, including pre-sales consultation, post-sales service, and service quality inspection. Model usage continues to grow, further strengthening the platform’s role as fundamental infrastructure for business operations. </w:t>
      </w:r>
      <w:r>
        <w:rPr>
          <w:rFonts w:ascii="Times New Roman" w:cs="Times New Roman" w:eastAsia="Times New Roman" w:hAnsi="Times New Roman"/>
          <w:sz w:val="22"/>
          <w:szCs w:val="22"/>
          <w:b w:val="1"/>
          <w:bCs w:val="1"/>
          <w:i w:val="1"/>
          <w:iCs w:val="1"/>
          <w:color w:val="auto"/>
        </w:rPr>
        <w:t xml:space="preserve">Insurance Agent. </w:t>
      </w:r>
      <w:r>
        <w:rPr>
          <w:rFonts w:ascii="Times New Roman" w:cs="Times New Roman" w:eastAsia="Times New Roman" w:hAnsi="Times New Roman"/>
          <w:sz w:val="22"/>
          <w:szCs w:val="22"/>
          <w:color w:val="auto"/>
        </w:rPr>
        <w:t>During the fourth quarter, the Company accelerated the deployment of insurance Agents across scenarios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as pre-sales, customer service, and claims assistance, steadily expanding business application coverage. Agents are now utilized in product explanations, insurance plan recommendations, customer service quality inspections, and agent-assisted responses, improving service efficiency and delivering a more consistent customer experience. The Company’s multimodal capabilities have also been applied in claims document classification and information extraction, further enhancing processing efficiency. Meanwhile, the Company continued to strengthen its insurance-vertical Agent framework and its underlying knowledge base, improving Agents’ ability to handle complex tasks, with overall model usage and business penetration steadily increasing.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-2426335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-1191895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Mr. Rui Fang, Chairman and Chief Executive Officer of Yuanbao, commented, “We closed the fourth quarter with strong operational and financial momentum, highlighted by a 34.5% year-over-year increase in the number of new policies to approximately 7.9 million. Leveraging AI technology and a network of thousands of models, we delivered personalized product service recommendations, connecting users with coverage needs at lower cost and with higher efficiency, significantly improving the accessibility of insurance. By embedding our proprietary AI and data capabilities across the full consumer service cycle engine, we have delivered measurable gains in system stability, service quality, customer acquisition and cost efficiency. As of year-end, our AI team accounted for over 10% of our total workforce. Our matrix included over 4,900 models capable of analyzing more than 5,700 labels, an increase of more than 290 models and 820 labels compared to 2024, thereby laying a solid foundation for the continuous iteration of our engine.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the product and service front, our strategy remains focused on two key dimensions: accessibility and affordability. We have leveraged AI and our model network to support precise user targeting and personalized services, while developing dedicated products for specific user segments, thereby enhancing insurance accessibility and expanding protection coverage. Meanwhile, we have consistently upgraded coverage benefits, launching products such as our ‘Zero-Deductible’ Million-RMB Medical Insurance Plan to deliver a strong value proposition and enhanced claims experience. Following the release of the inaugural national ‘Commercial Insurance Innovative Drug Catalog’ at the end of last year, we ​partnered with insurers to quickly expand the drug coverage of our Super Medical Insurance · Million-RMB Medical Insurance product series, responding to public demand for access to advanced treatments and high-quality medications under the new policy cycle.</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“As a leading player in the insurtech sector, we have achieved solid progress across technological innovation and our product and service offerings in 2025. Through steady business growth, we have further validated the sustainability of our business model while building strong competitive advantages through the deep application of AI technologies. As China enters the 15th Five-Year Plan period, supportive health insurance policies continue to gain traction, while advances in technology are playing an increasingly important role in driving the continued development of inclusive insurance. We will continue to align closely with national policy priorities and strategic priorities, leveraging AI as our core engine to deepen our focus on inclusive insurance. We</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remain committed to leading the industry forward, contributing to the development of a multi-tier healthcare security system, safeguarding public well-being, and supporting the advancement of the Healthy China initiative.”</w:t>
      </w:r>
    </w:p>
    <w:p>
      <w:pPr>
        <w:spacing w:after="0" w:line="15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Mr. Ray Wan, Chief Financial Officer of Yuanbao, added, “We delivered another quarter of robust growth, bolstered by our expanding user base, deeper integration of AI across end-to-end operations, and continuous improvements in operating efficiency. Total revenues for the quarter reached RMB1,175.3 million, representing a 32.2% increase year over year. Net income grew 15.4% year over year to RMB337.4 million, with net income margin remaining healthy at 28.7%. For the full year, total revenues increased 33.1% year over year to RMB4,373.2 million. As top-line growth continued to strengthen, net income rose 51.0% year over year to RMB1,307.5 million, with net income margin expanding to 29.9% in 2025 from 26.4% in 2024. These results reinforce our confidence in our growth trajectory and our ability to generate long-term value for our shareholders. Looking ahead, we will continue to build on this momentum, scaling our operations, advancing our AI capabilities, and further enhancing shareholder value.”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1" w:lineRule="exact"/>
        <w:rPr>
          <w:sz w:val="20"/>
          <w:szCs w:val="20"/>
          <w:color w:val="auto"/>
        </w:rPr>
      </w:pPr>
    </w:p>
    <w:p>
      <w:pPr>
        <w:ind w:firstLine="8"/>
        <w:spacing w:after="0" w:line="189" w:lineRule="auto"/>
        <w:tabs>
          <w:tab w:leader="none" w:pos="152"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number of new policies for a given period represents the total number of both short-term and long-term insurance policies purchased by the Company’s insurance consumers during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2025 Financial Results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Total Revenues. </w:t>
      </w:r>
      <w:r>
        <w:rPr>
          <w:rFonts w:ascii="Times New Roman" w:cs="Times New Roman" w:eastAsia="Times New Roman" w:hAnsi="Times New Roman"/>
          <w:sz w:val="22"/>
          <w:szCs w:val="22"/>
          <w:color w:val="auto"/>
        </w:rPr>
        <w:t>Total revenues in the fourth quarter of 2025 were RMB1,175.3 million (US$168.1 million), representing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32.2% year-over-year increase from RMB888.8 million in the same period of 2024. This growth was primarily driven by significant increases in revenues from both insurance distribution services and system services.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Insurance Distribution Services. </w:t>
      </w:r>
      <w:r>
        <w:rPr>
          <w:rFonts w:ascii="Times New Roman" w:cs="Times New Roman" w:eastAsia="Times New Roman" w:hAnsi="Times New Roman"/>
          <w:sz w:val="22"/>
          <w:szCs w:val="22"/>
          <w:color w:val="auto"/>
        </w:rPr>
        <w:t>Revenues from insurance distribution services in the fourth quarter of 2025 were RMB401.1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million (US$57.4 million), representing a 35.1% year-over-year increase from RMB297.0 million in the same period of 2024. This growth was mainly due to an increase in the number of policies purchased by insurance consumers on Yuanbao’s platform, partly driven by the Company’s enhanced targeted marketing efforts.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System Services. </w:t>
      </w:r>
      <w:r>
        <w:rPr>
          <w:rFonts w:ascii="Times New Roman" w:cs="Times New Roman" w:eastAsia="Times New Roman" w:hAnsi="Times New Roman"/>
          <w:sz w:val="22"/>
          <w:szCs w:val="22"/>
          <w:color w:val="auto"/>
        </w:rPr>
        <w:t>Revenues from system services in the fourth quarter of 2025 were RMB774.1 million (US$110.7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representing a 31.1% year-over-year increase from RMB590.4 million in the same period of 2024. This growth was primarily driven by the Company’s enhanced ability to provide partnered insurance carriers with more effective marketing services and precise analytics services, enabled by the Company’s continuously improving full consumer service cycle engine. Additionally, the increase was attributable to an expanded provision of system services to both existing and newly acquired partnered insurance carriers.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Others. </w:t>
      </w:r>
      <w:r>
        <w:rPr>
          <w:rFonts w:ascii="Times New Roman" w:cs="Times New Roman" w:eastAsia="Times New Roman" w:hAnsi="Times New Roman"/>
          <w:sz w:val="22"/>
          <w:szCs w:val="22"/>
          <w:color w:val="auto"/>
        </w:rPr>
        <w:t>Revenues from other services in the fourth quarter of 2025 were RMB0.1 million (US$0.01 million), representing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93.0% year-over-year decrease from RMB1.4 million in the same period of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Total Operating Costs and Expenses. </w:t>
      </w:r>
      <w:r>
        <w:rPr>
          <w:rFonts w:ascii="Times New Roman" w:cs="Times New Roman" w:eastAsia="Times New Roman" w:hAnsi="Times New Roman"/>
          <w:sz w:val="22"/>
          <w:szCs w:val="22"/>
          <w:color w:val="auto"/>
        </w:rPr>
        <w:t>Total operating costs and expenses in the fourth quarter of 2025 were RMB780.4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(US$111.6 million), representing a 30.2% year-over-year increase from RMB599.5 million in the same period of 2024.</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Operations and Support Expenses. </w:t>
      </w:r>
      <w:r>
        <w:rPr>
          <w:rFonts w:ascii="Times New Roman" w:cs="Times New Roman" w:eastAsia="Times New Roman" w:hAnsi="Times New Roman"/>
          <w:sz w:val="22"/>
          <w:szCs w:val="22"/>
          <w:color w:val="auto"/>
        </w:rPr>
        <w:t>Operations and support expenses in the fourth quarter of 2025 were RMB36.7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(US$5.3 million), representing a 13.7% year-over-year decrease from RMB42.6 million in the same period of 2024. This decrease was primarily driven by improved operating efficiency and effective cost control.</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i w:val="1"/>
          <w:iCs w:val="1"/>
          <w:color w:val="auto"/>
        </w:rPr>
        <w:t>Selling and Marketing Expenses</w:t>
      </w:r>
      <w:r>
        <w:rPr>
          <w:rFonts w:ascii="Times New Roman" w:cs="Times New Roman" w:eastAsia="Times New Roman" w:hAnsi="Times New Roman"/>
          <w:sz w:val="21"/>
          <w:szCs w:val="21"/>
          <w:color w:val="auto"/>
        </w:rPr>
        <w:t>. Selling and marketing expenses in the fourth quarter of 2025 were RMB552.3 million (US$79.0</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million), representing a 47.7% year-over-year increase from RMB374.0 million in the same period of 2024. This increase was primarily due to the Company’s enhanced marketing efforts to attract new consumers and retain existing consumers.</w:t>
      </w:r>
    </w:p>
    <w:p>
      <w:pPr>
        <w:spacing w:after="0" w:line="1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General and Administrative Expenses. </w:t>
      </w:r>
      <w:r>
        <w:rPr>
          <w:rFonts w:ascii="Times New Roman" w:cs="Times New Roman" w:eastAsia="Times New Roman" w:hAnsi="Times New Roman"/>
          <w:sz w:val="22"/>
          <w:szCs w:val="22"/>
          <w:color w:val="auto"/>
        </w:rPr>
        <w:t>General and administrative expenses in the fourth quarter of 2025 were RMB79.6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(US$11.4 million), representing a 22.5% year-over-year decrease from RMB102.7 million in the same period of 2024. The decrease was mainly driven by one-off project-related bonuses accrued in the fourth quarter of 2024, with no similar accruals in the fourth quarter of 2025.</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Research and Development Expenses. </w:t>
      </w:r>
      <w:r>
        <w:rPr>
          <w:rFonts w:ascii="Times New Roman" w:cs="Times New Roman" w:eastAsia="Times New Roman" w:hAnsi="Times New Roman"/>
          <w:sz w:val="22"/>
          <w:szCs w:val="22"/>
          <w:color w:val="auto"/>
        </w:rPr>
        <w:t>Research and development expenses in the fourth quarter of 2025 were RMB111.7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(US$16.0 million), representing a 39.1% year-over-year increase from RMB80.3 million in the same period of 2024. This increase was primarily due to enhanced research and development efforts and an expansion in R&amp;D personnel, aimed at reinforcing the Company’s leadership position as a technology-driven online insurance distributor.</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Investment Income. </w:t>
      </w:r>
      <w:r>
        <w:rPr>
          <w:rFonts w:ascii="Times New Roman" w:cs="Times New Roman" w:eastAsia="Times New Roman" w:hAnsi="Times New Roman"/>
          <w:sz w:val="22"/>
          <w:szCs w:val="22"/>
          <w:color w:val="auto"/>
        </w:rPr>
        <w:t>Investment income in the fourth quarter of 2025 was RMB14.4 million (US$2.1 million), compared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RMB3.9 million in the same period of 2024. This growth was primarily due to higher investment income from short-term investments.</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Income Tax Expenses. </w:t>
      </w:r>
      <w:r>
        <w:rPr>
          <w:rFonts w:ascii="Times New Roman" w:cs="Times New Roman" w:eastAsia="Times New Roman" w:hAnsi="Times New Roman"/>
          <w:sz w:val="22"/>
          <w:szCs w:val="22"/>
          <w:color w:val="auto"/>
        </w:rPr>
        <w:t>Income tax expenses in the fourth quarter of 2025 were RMB75.4 million (US$10.8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a 734.9% year-over-year increase from RMB9.0 million in the same period of 2024. This increase was primarily driven by the accrual of withholding income tax in the fourth quarter of 2025.</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Income and Net Income Margin. </w:t>
      </w:r>
      <w:r>
        <w:rPr>
          <w:rFonts w:ascii="Times New Roman" w:cs="Times New Roman" w:eastAsia="Times New Roman" w:hAnsi="Times New Roman"/>
          <w:sz w:val="22"/>
          <w:szCs w:val="22"/>
          <w:color w:val="auto"/>
        </w:rPr>
        <w:t>Net income in the fourth quarter of 2025 was RMB337.4 million (US$48.2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a 15.4% year-over-year increase from RMB292.3 million in the same period of 2024. Net income margin in the fourth quarter of 2025 was 28.7%, compared with 32.9% in the same period of 2024.</w:t>
      </w:r>
    </w:p>
    <w:p>
      <w:pPr>
        <w:spacing w:after="0" w:line="17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b w:val="1"/>
          <w:bCs w:val="1"/>
          <w:color w:val="auto"/>
        </w:rPr>
        <w:t>Non-GAAP Adjusted Net Income</w:t>
      </w:r>
      <w:r>
        <w:rPr>
          <w:rFonts w:ascii="Times New Roman" w:cs="Times New Roman" w:eastAsia="Times New Roman" w:hAnsi="Times New Roman"/>
          <w:sz w:val="35"/>
          <w:szCs w:val="35"/>
          <w:b w:val="1"/>
          <w:bCs w:val="1"/>
          <w:color w:val="auto"/>
          <w:vertAlign w:val="superscript"/>
        </w:rPr>
        <w:t>2</w:t>
      </w:r>
      <w:r>
        <w:rPr>
          <w:rFonts w:ascii="Times New Roman" w:cs="Times New Roman" w:eastAsia="Times New Roman" w:hAnsi="Times New Roman"/>
          <w:sz w:val="22"/>
          <w:szCs w:val="22"/>
          <w:b w:val="1"/>
          <w:bCs w:val="1"/>
          <w:color w:val="auto"/>
        </w:rPr>
        <w:t xml:space="preserve"> and Non-GAAP Adjusted Net Income Margin. </w:t>
      </w:r>
      <w:r>
        <w:rPr>
          <w:rFonts w:ascii="Times New Roman" w:cs="Times New Roman" w:eastAsia="Times New Roman" w:hAnsi="Times New Roman"/>
          <w:sz w:val="22"/>
          <w:szCs w:val="22"/>
          <w:color w:val="auto"/>
        </w:rPr>
        <w:t>Non-GAAP adjusted net income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fourth quarter of 2025 was RMB354.5 million (US$50.7 million), representing a 13.2% year-over-year increase from RMB313.0 million in the same period of 2024. Non-GAAP adjusted net income margin in the fourth quarter of 2025 was 30.2%, compared with 35.2% in the same period of 2024.</w:t>
      </w:r>
    </w:p>
    <w:p>
      <w:pPr>
        <w:spacing w:after="0" w:line="18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b w:val="1"/>
          <w:bCs w:val="1"/>
          <w:color w:val="auto"/>
        </w:rPr>
        <w:t>Basic and Diluted Net Income per ADS.</w:t>
      </w:r>
      <w:r>
        <w:rPr>
          <w:rFonts w:ascii="Times New Roman" w:cs="Times New Roman" w:eastAsia="Times New Roman" w:hAnsi="Times New Roman"/>
          <w:sz w:val="35"/>
          <w:szCs w:val="35"/>
          <w:b w:val="1"/>
          <w:bCs w:val="1"/>
          <w:color w:val="auto"/>
          <w:vertAlign w:val="superscript"/>
        </w:rPr>
        <w:t>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Basic net income per ADS in the fourth quarter of 2025 was RMB7.49 (US$1.07),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with RMB11.02 in the same period of 2024. Diluted net income per ADS in the fourth quarter of 2025 was RMB6.96 (US$1.00), compared with RMB6.43 in the same period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 2025 Financial Results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Total Revenues. </w:t>
      </w:r>
      <w:r>
        <w:rPr>
          <w:rFonts w:ascii="Times New Roman" w:cs="Times New Roman" w:eastAsia="Times New Roman" w:hAnsi="Times New Roman"/>
          <w:sz w:val="22"/>
          <w:szCs w:val="22"/>
          <w:color w:val="auto"/>
        </w:rPr>
        <w:t>Total revenues in 2025 were RMB4,373.2 million (US$625.4 million), representing a 33.1% year-over-year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increase from RMB3,284.5 million in 2024.</w:t>
      </w:r>
    </w:p>
    <w:p>
      <w:pPr>
        <w:sectPr>
          <w:pgSz w:w="11900" w:h="16899" w:orient="portrait"/>
          <w:cols w:equalWidth="0" w:num="1">
            <w:col w:w="11240"/>
          </w:cols>
          <w:pgMar w:left="320" w:top="675" w:right="339" w:bottom="0" w:gutter="0" w:footer="0" w:header="0"/>
        </w:sectPr>
      </w:pPr>
    </w:p>
    <w:bookmarkStart w:id="6" w:name="page7"/>
    <w:bookmarkEnd w:id="6"/>
    <w:p>
      <w:pPr>
        <w:jc w:val="both"/>
        <w:spacing w:after="0" w:line="260" w:lineRule="auto"/>
        <w:rPr>
          <w:sz w:val="20"/>
          <w:szCs w:val="20"/>
          <w:color w:val="auto"/>
        </w:rPr>
      </w:pPr>
      <w:r>
        <w:rPr>
          <w:rFonts w:ascii="Times New Roman" w:cs="Times New Roman" w:eastAsia="Times New Roman" w:hAnsi="Times New Roman"/>
          <w:sz w:val="22"/>
          <w:szCs w:val="22"/>
          <w:i w:val="1"/>
          <w:iCs w:val="1"/>
          <w:color w:val="auto"/>
        </w:rPr>
        <w:t xml:space="preserve">Insurance Distribution Services. </w:t>
      </w:r>
      <w:r>
        <w:rPr>
          <w:rFonts w:ascii="Times New Roman" w:cs="Times New Roman" w:eastAsia="Times New Roman" w:hAnsi="Times New Roman"/>
          <w:sz w:val="22"/>
          <w:szCs w:val="22"/>
          <w:color w:val="auto"/>
        </w:rPr>
        <w:t>Revenues from insurance distribution services in 2025 were RMB1,446.8 million (US$206.9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million), representing a 33.8% year-over-year increase from RMB1,081.3 million in 2024.</w:t>
      </w:r>
    </w:p>
    <w:p>
      <w:pPr>
        <w:spacing w:after="0" w:line="15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System Services. </w:t>
      </w:r>
      <w:r>
        <w:rPr>
          <w:rFonts w:ascii="Times New Roman" w:cs="Times New Roman" w:eastAsia="Times New Roman" w:hAnsi="Times New Roman"/>
          <w:sz w:val="22"/>
          <w:szCs w:val="22"/>
          <w:color w:val="auto"/>
        </w:rPr>
        <w:t>Revenues from system services in 2025 were RMB2,922.7 million (US$417.9 million), representing a 33.2%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year-over-year increase from RMB2,194.2 million in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Others. </w:t>
      </w:r>
      <w:r>
        <w:rPr>
          <w:rFonts w:ascii="Times New Roman" w:cs="Times New Roman" w:eastAsia="Times New Roman" w:hAnsi="Times New Roman"/>
          <w:sz w:val="22"/>
          <w:szCs w:val="22"/>
          <w:color w:val="auto"/>
        </w:rPr>
        <w:t>Revenues from other services in 2025 were RMB3.6 million (US$0.5 million), representing a 60.4% year-over-year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decrease from RMB9.0 million in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Total Operating Costs and Expenses. </w:t>
      </w:r>
      <w:r>
        <w:rPr>
          <w:rFonts w:ascii="Times New Roman" w:cs="Times New Roman" w:eastAsia="Times New Roman" w:hAnsi="Times New Roman"/>
          <w:sz w:val="22"/>
          <w:szCs w:val="22"/>
          <w:color w:val="auto"/>
        </w:rPr>
        <w:t>Total operating costs and expenses in 2025 were RMB3,036.6 million (US$434.2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representing a 25.2% year-over-year increase from RMB2,425.9 million in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Operations and Support Expenses. </w:t>
      </w:r>
      <w:r>
        <w:rPr>
          <w:rFonts w:ascii="Times New Roman" w:cs="Times New Roman" w:eastAsia="Times New Roman" w:hAnsi="Times New Roman"/>
          <w:sz w:val="22"/>
          <w:szCs w:val="22"/>
          <w:color w:val="auto"/>
        </w:rPr>
        <w:t>Operations and support expenses in 2025 were RMB167.5 million (US$23.9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representing a 0.7% year-over-year increase from RMB166.3 million in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Selling and Marketing Expenses</w:t>
      </w:r>
      <w:r>
        <w:rPr>
          <w:rFonts w:ascii="Times New Roman" w:cs="Times New Roman" w:eastAsia="Times New Roman" w:hAnsi="Times New Roman"/>
          <w:sz w:val="22"/>
          <w:szCs w:val="22"/>
          <w:color w:val="auto"/>
        </w:rPr>
        <w:t>. Selling and marketing expenses in 2025 were RMB2,217.2 million (US$317.0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representing a 23.9% year-over-year increase from RMB1,789.9 million in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General and Administrative Expenses. </w:t>
      </w:r>
      <w:r>
        <w:rPr>
          <w:rFonts w:ascii="Times New Roman" w:cs="Times New Roman" w:eastAsia="Times New Roman" w:hAnsi="Times New Roman"/>
          <w:sz w:val="22"/>
          <w:szCs w:val="22"/>
          <w:color w:val="auto"/>
        </w:rPr>
        <w:t>General and administrative expenses in 2025 were RMB286.8 million (US$41.0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representing a 20.2% year-over-year increase from RMB238.6 million in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Research and Development Expenses. </w:t>
      </w:r>
      <w:r>
        <w:rPr>
          <w:rFonts w:ascii="Times New Roman" w:cs="Times New Roman" w:eastAsia="Times New Roman" w:hAnsi="Times New Roman"/>
          <w:sz w:val="22"/>
          <w:szCs w:val="22"/>
          <w:color w:val="auto"/>
        </w:rPr>
        <w:t>Research and development expenses in 2025 were RMB365.1 million (US$52.2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representing a 58.0% year-over-year increase from RMB231.0 million in 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Investment Income. </w:t>
      </w:r>
      <w:r>
        <w:rPr>
          <w:rFonts w:ascii="Times New Roman" w:cs="Times New Roman" w:eastAsia="Times New Roman" w:hAnsi="Times New Roman"/>
          <w:sz w:val="22"/>
          <w:szCs w:val="22"/>
          <w:color w:val="auto"/>
        </w:rPr>
        <w:t>Investment income in 2025 was RMB45.2 million (US$6.5 million) compared with RMB6.4 million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Income Tax Expenses. </w:t>
      </w:r>
      <w:r>
        <w:rPr>
          <w:rFonts w:ascii="Times New Roman" w:cs="Times New Roman" w:eastAsia="Times New Roman" w:hAnsi="Times New Roman"/>
          <w:sz w:val="22"/>
          <w:szCs w:val="22"/>
          <w:color w:val="auto"/>
        </w:rPr>
        <w:t>Income tax expenses in 2025 were RMB101.2 million (US$14.5 million), representing a 295.7% year-over-year increase from RMB25.6 million in 2024.</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Net Income and Net Income Margin. </w:t>
      </w:r>
      <w:r>
        <w:rPr>
          <w:rFonts w:ascii="Times New Roman" w:cs="Times New Roman" w:eastAsia="Times New Roman" w:hAnsi="Times New Roman"/>
          <w:sz w:val="21"/>
          <w:szCs w:val="21"/>
          <w:color w:val="auto"/>
        </w:rPr>
        <w:t>Net income in 2025 was RMB1,307.5 million (US$187.0 million), representing a 51.0%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year-over-year increase from RMB865.8 million in 2024. Net income margin in 2025 was 29.9%, compared with 26.4% in 2024.</w:t>
      </w:r>
    </w:p>
    <w:p>
      <w:pPr>
        <w:spacing w:after="0" w:line="1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Non-GAAP Adjusted Net Income and Non-GAAP Adjusted Net Income Margin. </w:t>
      </w:r>
      <w:r>
        <w:rPr>
          <w:rFonts w:ascii="Times New Roman" w:cs="Times New Roman" w:eastAsia="Times New Roman" w:hAnsi="Times New Roman"/>
          <w:sz w:val="22"/>
          <w:szCs w:val="22"/>
          <w:color w:val="auto"/>
        </w:rPr>
        <w:t>Non-GAAP adjusted net income in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was RMB1,381.9 million (US$197.6 million), representing a 48.6% year-over-year increase from RMB929.9 million in 2024. Non-GAAP adjusted net income margin in 2025 was 31.6%, compared with 28.3% in 2024.</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Basic and Diluted Net Income per ADS. </w:t>
      </w:r>
      <w:r>
        <w:rPr>
          <w:rFonts w:ascii="Times New Roman" w:cs="Times New Roman" w:eastAsia="Times New Roman" w:hAnsi="Times New Roman"/>
          <w:sz w:val="22"/>
          <w:szCs w:val="22"/>
          <w:color w:val="auto"/>
        </w:rPr>
        <w:t>Basic net income per ADS in 2025 was RMB55.72 (US$7.97), compared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RMB26.07 in 2024. Diluted net income per ADS in 2025 was RMB27.44 (US$3.92), compared with RMB19.15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Position and Cash Flow</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December 31, 2025, the Company had cash and cash equivalents, time deposits, restricted cash, short-term investments and long-term bank deposits of RMB4.04 billion (US$577.6 million), representing increases of 72.9% year over year and 7.7% quarter over quarter.</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 the fourth quarter of 2025, net cash provided by operating activities was RMB290.7 million (US$41.6 million). In fiscal year 2025, net cash provided by operating activities was RMB1,495.1 million (US$213.8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1" w:lineRule="exact"/>
        <w:rPr>
          <w:sz w:val="20"/>
          <w:szCs w:val="20"/>
          <w:color w:val="auto"/>
        </w:rPr>
      </w:pPr>
    </w:p>
    <w:p>
      <w:pPr>
        <w:ind w:right="20" w:firstLine="8"/>
        <w:spacing w:after="0" w:line="189" w:lineRule="auto"/>
        <w:tabs>
          <w:tab w:leader="none" w:pos="168"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Non-GAAP adjusted net income is defined as net income excluding share-based compensation expenses. See “Use of Non-GAAP Financial Measure” and “Reconciliations of GAAP and Non-GAAP Results” at the end of this press release.</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Each ADS represents six of the Company’s Class A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Exchange Rate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announcement contains translations of certain Renminbi (“RMB”) amounts into U.S. dollars (“US$”) at specified rates solely for the convenience of the reader. Unless otherwise noted, all translations from RMB to US$ were made at a rate of RMB6.9931 to US$1.00, the exchange rate in effect as of December 31, 2025, as set forth in the H.10 statistical release of the Board of Governors of the Federal Reserve System. The Company makes no representation that any RMB or US$ amounts could have been, or could be, converted into US$ or RMB, as the case may be, at any particular rate, or at all.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Company’s management will hold an earnings conference call at 8:00 A.M. U.S. Eastern Time on March 18, 2026 or 8:00 P.M. Beijing Time to discuss its financial results and operating performance for the fourth quarter and fiscal year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Online Registration: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https://register-conf.media-server.com/register/BIb08c5d8b1d5e4ab9b8a0fc3bce9ffbf7</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Participants should complete online registration using the link provided above at least 15 minutes before the scheduled start time. Upon registration, participants will receive the conference call access information, including dial-in numbers, a personal PIN and an e-mail with detailed instructions to join the conference call.</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Additionally, a live and archived webcast of the conference call will be available on the Company’s investor relations website at ir.yb-inc.com.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Yuanbao Inc.</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Yuanbao Inc. is a leading technology-driven online insurance distributor in China, committed to protecting health and well-being through innovative technology. Leveraging its proprietary consumer service cycle engine and advanced technologies, Yuanbao delivers customized insurance solutions from its partnered insurance carriers to over ten million insurance consumers throughout the entire insurance lifecycle, ranging from personalized recommendations to post-sales services. Through deep collaboration with insurance carriers and the use of data-driven insights, Yuanbao empowers carriers to tailor flagship products, enhances consumer engagement, and drives scalable and efficient distribution.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ir.yb-inc.com.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Non-GAAP Financial Measures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unaudited condensed consolidated financial information is prepared in conformity with accounting principles generally accepted in the United States of America (“U.S. GAAP”).</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uses non-GAAP financial measures, including adjusted net income and adjusted net income margin, in evaluating the Company’s operating results and for financial and operational decision-making purposes. Adjusted net income represents net income excluding share-based compensation expense, and adjusted net income margin represents adjusted net income as a percentage of revenue. Such adjustments have no impact on income tax.</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non-GAAP financial measures are not presented in accordance with U.S. GAAP and may be different from non-GAAP methods of accounting and reporting used by other companies. The non-GAAP financial measures have limitations as an analytical tool and when assessing the Company’s operating performance, investors should not consider it in isolation. The Company encourages investors and others to review its financial information in its entirety and not rely on a single financial measure. Adjusted net income presented here may not be comparable to similarly titled measures presented by other companies. Other companies may calculate similarly titled measures differently, limiting their usefulness as a comparative measure to the Company’s data.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more information on the non-GAAP financial measures, please see the table captioned “Reconciliation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in this announcement contain forward-looking statements. Yuanbao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Yuanbao’s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Yuanbao’s mission, goals and strategies; Yuanbao’s future business development, financial condition and results of operations; the expected growth of the insurance industry in China; Yuanbao’s expectations regarding demand for and market acceptance of its products and services; Yuanbao’s expectations regarding its relationships with consumers, insurance carriers and other partners; competition in the industry and relevant government policies and regulations relating to insurance industry. Further information regarding these and other risks is included in Yuanbao’s filings with the SEC. All information provided in this press release is as of the date of this press release, and Yuanbao does not undertake any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Yuanbao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ir@yb-inc.com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Piacente Financial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Helen Wu</w:t>
      </w:r>
    </w:p>
    <w:p>
      <w:pPr>
        <w:spacing w:after="0" w:line="230" w:lineRule="auto"/>
        <w:rPr>
          <w:sz w:val="20"/>
          <w:szCs w:val="20"/>
          <w:color w:val="auto"/>
        </w:rPr>
      </w:pPr>
      <w:r>
        <w:rPr>
          <w:rFonts w:ascii="Times New Roman" w:cs="Times New Roman" w:eastAsia="Times New Roman" w:hAnsi="Times New Roman"/>
          <w:sz w:val="22"/>
          <w:szCs w:val="22"/>
          <w:color w:val="auto"/>
        </w:rPr>
        <w:t>Tel: +86-10-6508-0677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yb@thepiacentegroup.com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Piacente Financial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Brandi Piacente</w:t>
      </w:r>
    </w:p>
    <w:p>
      <w:pPr>
        <w:spacing w:after="0" w:line="230" w:lineRule="auto"/>
        <w:rPr>
          <w:sz w:val="20"/>
          <w:szCs w:val="20"/>
          <w:color w:val="auto"/>
        </w:rPr>
      </w:pPr>
      <w:r>
        <w:rPr>
          <w:rFonts w:ascii="Times New Roman" w:cs="Times New Roman" w:eastAsia="Times New Roman" w:hAnsi="Times New Roman"/>
          <w:sz w:val="22"/>
          <w:szCs w:val="22"/>
          <w:color w:val="auto"/>
        </w:rPr>
        <w:t>Tel: +1-212-481-2050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yb@thepiacentegroup.com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 CONDENSED CONSOLIDATED BALANCE SHEETS</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(All amounts in thousands, except for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180" w:type="dxa"/>
            <w:vAlign w:val="bottom"/>
          </w:tcPr>
          <w:p>
            <w:pPr>
              <w:spacing w:after="0"/>
              <w:rPr>
                <w:sz w:val="24"/>
                <w:szCs w:val="2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As of December 31, 2024</w:t>
            </w:r>
          </w:p>
        </w:tc>
        <w:tc>
          <w:tcPr>
            <w:tcW w:w="356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As of December 31, 2025</w:t>
            </w:r>
          </w:p>
        </w:tc>
        <w:tc>
          <w:tcPr>
            <w:tcW w:w="0" w:type="dxa"/>
            <w:vAlign w:val="bottom"/>
          </w:tcPr>
          <w:p>
            <w:pPr>
              <w:spacing w:after="0"/>
              <w:rPr>
                <w:sz w:val="1"/>
                <w:szCs w:val="1"/>
                <w:color w:val="auto"/>
              </w:rPr>
            </w:pPr>
          </w:p>
        </w:tc>
      </w:tr>
      <w:tr>
        <w:trPr>
          <w:trHeight w:val="281"/>
        </w:trPr>
        <w:tc>
          <w:tcPr>
            <w:tcW w:w="5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360" w:type="dxa"/>
            <w:vAlign w:val="bottom"/>
            <w:tcBorders>
              <w:top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b w:val="1"/>
                <w:bCs w:val="1"/>
                <w:color w:val="auto"/>
              </w:rPr>
              <w:t>RMB</w:t>
            </w:r>
          </w:p>
        </w:tc>
        <w:tc>
          <w:tcPr>
            <w:tcW w:w="120" w:type="dxa"/>
            <w:vAlign w:val="bottom"/>
          </w:tcPr>
          <w:p>
            <w:pPr>
              <w:spacing w:after="0"/>
              <w:rPr>
                <w:sz w:val="24"/>
                <w:szCs w:val="24"/>
                <w:color w:val="auto"/>
              </w:rPr>
            </w:pPr>
          </w:p>
        </w:tc>
        <w:tc>
          <w:tcPr>
            <w:tcW w:w="2120" w:type="dxa"/>
            <w:vAlign w:val="bottom"/>
            <w:tcBorders>
              <w:top w:val="single" w:sz="8" w:color="auto"/>
            </w:tcBorders>
          </w:tcPr>
          <w:p>
            <w:pPr>
              <w:jc w:val="right"/>
              <w:ind w:right="852"/>
              <w:spacing w:after="0"/>
              <w:rPr>
                <w:sz w:val="20"/>
                <w:szCs w:val="20"/>
                <w:color w:val="auto"/>
              </w:rPr>
            </w:pPr>
            <w:r>
              <w:rPr>
                <w:rFonts w:ascii="Times New Roman" w:cs="Times New Roman" w:eastAsia="Times New Roman" w:hAnsi="Times New Roman"/>
                <w:sz w:val="22"/>
                <w:szCs w:val="22"/>
                <w:b w:val="1"/>
                <w:bCs w:val="1"/>
                <w:color w:val="auto"/>
              </w:rPr>
              <w:t>RMB</w:t>
            </w:r>
          </w:p>
        </w:tc>
        <w:tc>
          <w:tcPr>
            <w:tcW w:w="144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USD</w:t>
            </w:r>
          </w:p>
        </w:tc>
        <w:tc>
          <w:tcPr>
            <w:tcW w:w="0" w:type="dxa"/>
            <w:vAlign w:val="bottom"/>
          </w:tcPr>
          <w:p>
            <w:pPr>
              <w:spacing w:after="0"/>
              <w:rPr>
                <w:sz w:val="1"/>
                <w:szCs w:val="1"/>
                <w:color w:val="auto"/>
              </w:rPr>
            </w:pPr>
          </w:p>
        </w:tc>
      </w:tr>
      <w:tr>
        <w:trPr>
          <w:trHeight w:val="236"/>
        </w:trPr>
        <w:tc>
          <w:tcPr>
            <w:tcW w:w="518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2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1,904,674</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860,455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123,043</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Time deposits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80,000</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273,416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39,098</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Restricted cash</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15,000</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23,525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3,364</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Short-term investments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336,217</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2,829,462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404,608</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 net</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260,958</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441,414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63,121</w:t>
            </w:r>
          </w:p>
        </w:tc>
        <w:tc>
          <w:tcPr>
            <w:tcW w:w="0" w:type="dxa"/>
            <w:vAlign w:val="bottom"/>
          </w:tcPr>
          <w:p>
            <w:pPr>
              <w:spacing w:after="0"/>
              <w:rPr>
                <w:sz w:val="1"/>
                <w:szCs w:val="1"/>
                <w:color w:val="auto"/>
              </w:rPr>
            </w:pPr>
          </w:p>
        </w:tc>
      </w:tr>
      <w:tr>
        <w:trPr>
          <w:trHeight w:val="283"/>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Prepayments and other current assets, net</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75,964</w:t>
            </w: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29,768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4,257</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current assets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2,672,813</w:t>
            </w:r>
          </w:p>
        </w:tc>
        <w:tc>
          <w:tcPr>
            <w:tcW w:w="120" w:type="dxa"/>
            <w:vAlign w:val="bottom"/>
          </w:tcPr>
          <w:p>
            <w:pPr>
              <w:spacing w:after="0"/>
              <w:rPr>
                <w:sz w:val="22"/>
                <w:szCs w:val="22"/>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4,458,040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637,491</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Non-current assets:</w:t>
            </w: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80" w:type="dxa"/>
            <w:vAlign w:val="bottom"/>
            <w:vMerge w:val="continue"/>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4,896</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13,784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1,971</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Intangible assets, net</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58,049</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64,553</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9,231</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Long-term bank deposits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52,492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7,506</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Right-of-use assets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19,335</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8,566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1,225</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tax assets, net</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6,936</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33,337</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4,767</w:t>
            </w:r>
          </w:p>
        </w:tc>
        <w:tc>
          <w:tcPr>
            <w:tcW w:w="0" w:type="dxa"/>
            <w:vAlign w:val="bottom"/>
          </w:tcPr>
          <w:p>
            <w:pPr>
              <w:spacing w:after="0"/>
              <w:rPr>
                <w:sz w:val="1"/>
                <w:szCs w:val="1"/>
                <w:color w:val="auto"/>
              </w:rPr>
            </w:pPr>
          </w:p>
        </w:tc>
      </w:tr>
      <w:tr>
        <w:trPr>
          <w:trHeight w:val="282"/>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non-current assets, net</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17,611</w:t>
            </w: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24,796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3,546</w:t>
            </w:r>
          </w:p>
        </w:tc>
        <w:tc>
          <w:tcPr>
            <w:tcW w:w="0" w:type="dxa"/>
            <w:vAlign w:val="bottom"/>
          </w:tcPr>
          <w:p>
            <w:pPr>
              <w:spacing w:after="0"/>
              <w:rPr>
                <w:sz w:val="1"/>
                <w:szCs w:val="1"/>
                <w:color w:val="auto"/>
              </w:rPr>
            </w:pPr>
          </w:p>
        </w:tc>
      </w:tr>
      <w:tr>
        <w:trPr>
          <w:trHeight w:val="265"/>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non-current assets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106,827</w:t>
            </w:r>
          </w:p>
        </w:tc>
        <w:tc>
          <w:tcPr>
            <w:tcW w:w="120" w:type="dxa"/>
            <w:vAlign w:val="bottom"/>
          </w:tcPr>
          <w:p>
            <w:pPr>
              <w:spacing w:after="0"/>
              <w:rPr>
                <w:sz w:val="23"/>
                <w:szCs w:val="23"/>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197,528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28,246</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2,779,640</w:t>
            </w:r>
          </w:p>
        </w:tc>
        <w:tc>
          <w:tcPr>
            <w:tcW w:w="120" w:type="dxa"/>
            <w:vAlign w:val="bottom"/>
          </w:tcPr>
          <w:p>
            <w:pPr>
              <w:spacing w:after="0"/>
              <w:rPr>
                <w:sz w:val="22"/>
                <w:szCs w:val="22"/>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4,655,568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665,737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5180" w:type="dxa"/>
            <w:vAlign w:val="bottom"/>
            <w:vMerge w:val="continue"/>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2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10,676</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17,378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2,485</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Contract liabilities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117,649</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63,541</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9,086</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Salary and welfare payable</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160,690</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230,039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32,895</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Taxes payable</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51,359</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43,275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6,189</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lease liabilities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13,447</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7,077</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1,012</w:t>
            </w:r>
          </w:p>
        </w:tc>
        <w:tc>
          <w:tcPr>
            <w:tcW w:w="0" w:type="dxa"/>
            <w:vAlign w:val="bottom"/>
          </w:tcPr>
          <w:p>
            <w:pPr>
              <w:spacing w:after="0"/>
              <w:rPr>
                <w:sz w:val="1"/>
                <w:szCs w:val="1"/>
                <w:color w:val="auto"/>
              </w:rPr>
            </w:pPr>
          </w:p>
        </w:tc>
      </w:tr>
      <w:tr>
        <w:trPr>
          <w:trHeight w:val="283"/>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Accrued expenses and other current liabilities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586,990</w:t>
            </w: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777,416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111,169</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940,811</w:t>
            </w:r>
          </w:p>
        </w:tc>
        <w:tc>
          <w:tcPr>
            <w:tcW w:w="120" w:type="dxa"/>
            <w:vAlign w:val="bottom"/>
          </w:tcPr>
          <w:p>
            <w:pPr>
              <w:spacing w:after="0"/>
              <w:rPr>
                <w:sz w:val="22"/>
                <w:szCs w:val="22"/>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1,138,726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162,836</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Non-current liabilities:</w:t>
            </w: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80" w:type="dxa"/>
            <w:vAlign w:val="bottom"/>
            <w:vMerge w:val="continue"/>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Non-current lease liabilities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5,714</w:t>
            </w:r>
          </w:p>
        </w:tc>
        <w:tc>
          <w:tcPr>
            <w:tcW w:w="120" w:type="dxa"/>
            <w:vAlign w:val="bottom"/>
          </w:tcPr>
          <w:p>
            <w:pPr>
              <w:spacing w:after="0"/>
              <w:rPr>
                <w:sz w:val="23"/>
                <w:szCs w:val="23"/>
                <w:color w:val="auto"/>
              </w:rPr>
            </w:pPr>
          </w:p>
        </w:tc>
        <w:tc>
          <w:tcPr>
            <w:tcW w:w="21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846</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c>
          <w:tcPr>
            <w:tcW w:w="0" w:type="dxa"/>
            <w:vAlign w:val="bottom"/>
          </w:tcPr>
          <w:p>
            <w:pPr>
              <w:spacing w:after="0"/>
              <w:rPr>
                <w:sz w:val="1"/>
                <w:szCs w:val="1"/>
                <w:color w:val="auto"/>
              </w:rPr>
            </w:pPr>
          </w:p>
        </w:tc>
      </w:tr>
      <w:tr>
        <w:trPr>
          <w:trHeight w:val="282"/>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46,030</w:t>
            </w: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169,701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24,267</w:t>
            </w:r>
          </w:p>
        </w:tc>
        <w:tc>
          <w:tcPr>
            <w:tcW w:w="0" w:type="dxa"/>
            <w:vAlign w:val="bottom"/>
          </w:tcPr>
          <w:p>
            <w:pPr>
              <w:spacing w:after="0"/>
              <w:rPr>
                <w:sz w:val="1"/>
                <w:szCs w:val="1"/>
                <w:color w:val="auto"/>
              </w:rPr>
            </w:pPr>
          </w:p>
        </w:tc>
      </w:tr>
      <w:tr>
        <w:trPr>
          <w:trHeight w:val="265"/>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non-current liabilities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51,744</w:t>
            </w:r>
          </w:p>
        </w:tc>
        <w:tc>
          <w:tcPr>
            <w:tcW w:w="120" w:type="dxa"/>
            <w:vAlign w:val="bottom"/>
          </w:tcPr>
          <w:p>
            <w:pPr>
              <w:spacing w:after="0"/>
              <w:rPr>
                <w:sz w:val="23"/>
                <w:szCs w:val="23"/>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170,547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24,388</w:t>
            </w: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992,555</w:t>
            </w:r>
          </w:p>
        </w:tc>
        <w:tc>
          <w:tcPr>
            <w:tcW w:w="120" w:type="dxa"/>
            <w:vAlign w:val="bottom"/>
          </w:tcPr>
          <w:p>
            <w:pPr>
              <w:spacing w:after="0"/>
              <w:rPr>
                <w:sz w:val="22"/>
                <w:szCs w:val="22"/>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1,309,273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187,224</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MEZZANINE EQUITY</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3,420,882</w:t>
            </w: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SHAREHOLDERS' DEFICIT:</w:t>
            </w: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18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Ordinary shares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w:t>
            </w:r>
          </w:p>
        </w:tc>
        <w:tc>
          <w:tcPr>
            <w:tcW w:w="120" w:type="dxa"/>
            <w:vAlign w:val="bottom"/>
          </w:tcPr>
          <w:p>
            <w:pPr>
              <w:spacing w:after="0"/>
              <w:rPr>
                <w:sz w:val="23"/>
                <w:szCs w:val="23"/>
                <w:color w:val="auto"/>
              </w:rPr>
            </w:pPr>
          </w:p>
        </w:tc>
        <w:tc>
          <w:tcPr>
            <w:tcW w:w="21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Class A ordinary shares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21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135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Class B ordinary shares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21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198,664</w:t>
            </w:r>
          </w:p>
        </w:tc>
        <w:tc>
          <w:tcPr>
            <w:tcW w:w="120" w:type="dxa"/>
            <w:vAlign w:val="bottom"/>
          </w:tcPr>
          <w:p>
            <w:pPr>
              <w:spacing w:after="0"/>
              <w:rPr>
                <w:sz w:val="23"/>
                <w:szCs w:val="23"/>
                <w:color w:val="auto"/>
              </w:rPr>
            </w:pPr>
          </w:p>
        </w:tc>
        <w:tc>
          <w:tcPr>
            <w:tcW w:w="21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3,179,602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454,677</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Statutory reserves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80,975</w:t>
            </w:r>
          </w:p>
        </w:tc>
        <w:tc>
          <w:tcPr>
            <w:tcW w:w="120" w:type="dxa"/>
            <w:vAlign w:val="bottom"/>
          </w:tcPr>
          <w:p>
            <w:pPr>
              <w:spacing w:after="0"/>
              <w:rPr>
                <w:sz w:val="23"/>
                <w:szCs w:val="23"/>
                <w:color w:val="auto"/>
              </w:rPr>
            </w:pPr>
          </w:p>
        </w:tc>
        <w:tc>
          <w:tcPr>
            <w:tcW w:w="21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230,033</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32,894</w:t>
            </w: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deficit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(1,932,128)</w:t>
            </w:r>
          </w:p>
        </w:tc>
        <w:tc>
          <w:tcPr>
            <w:tcW w:w="120" w:type="dxa"/>
            <w:vAlign w:val="bottom"/>
          </w:tcPr>
          <w:p>
            <w:pPr>
              <w:spacing w:after="0"/>
              <w:rPr>
                <w:sz w:val="23"/>
                <w:szCs w:val="23"/>
                <w:color w:val="auto"/>
              </w:rPr>
            </w:pPr>
          </w:p>
        </w:tc>
        <w:tc>
          <w:tcPr>
            <w:tcW w:w="21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(72,851)</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(10,418)</w:t>
            </w:r>
          </w:p>
        </w:tc>
        <w:tc>
          <w:tcPr>
            <w:tcW w:w="0" w:type="dxa"/>
            <w:vAlign w:val="bottom"/>
          </w:tcPr>
          <w:p>
            <w:pPr>
              <w:spacing w:after="0"/>
              <w:rPr>
                <w:sz w:val="1"/>
                <w:szCs w:val="1"/>
                <w:color w:val="auto"/>
              </w:rPr>
            </w:pPr>
          </w:p>
        </w:tc>
      </w:tr>
      <w:tr>
        <w:trPr>
          <w:trHeight w:val="282"/>
        </w:trPr>
        <w:tc>
          <w:tcPr>
            <w:tcW w:w="5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other comprehensive income</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18,621</w:t>
            </w:r>
          </w:p>
        </w:tc>
        <w:tc>
          <w:tcPr>
            <w:tcW w:w="120" w:type="dxa"/>
            <w:vAlign w:val="bottom"/>
          </w:tcPr>
          <w:p>
            <w:pPr>
              <w:spacing w:after="0"/>
              <w:rPr>
                <w:sz w:val="24"/>
                <w:szCs w:val="24"/>
                <w:color w:val="auto"/>
              </w:rPr>
            </w:pPr>
          </w:p>
        </w:tc>
        <w:tc>
          <w:tcPr>
            <w:tcW w:w="2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9,321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1,333</w:t>
            </w:r>
          </w:p>
        </w:tc>
        <w:tc>
          <w:tcPr>
            <w:tcW w:w="0" w:type="dxa"/>
            <w:vAlign w:val="bottom"/>
          </w:tcPr>
          <w:p>
            <w:pPr>
              <w:spacing w:after="0"/>
              <w:rPr>
                <w:sz w:val="1"/>
                <w:szCs w:val="1"/>
                <w:color w:val="auto"/>
              </w:rPr>
            </w:pPr>
          </w:p>
        </w:tc>
      </w:tr>
      <w:tr>
        <w:trPr>
          <w:trHeight w:val="265"/>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SHAREHOLDERS' (DEFICIT)/EQUITY</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(1,633,797)</w:t>
            </w:r>
          </w:p>
        </w:tc>
        <w:tc>
          <w:tcPr>
            <w:tcW w:w="120" w:type="dxa"/>
            <w:vAlign w:val="bottom"/>
          </w:tcPr>
          <w:p>
            <w:pPr>
              <w:spacing w:after="0"/>
              <w:rPr>
                <w:sz w:val="23"/>
                <w:szCs w:val="23"/>
                <w:color w:val="auto"/>
              </w:rPr>
            </w:pPr>
          </w:p>
        </w:tc>
        <w:tc>
          <w:tcPr>
            <w:tcW w:w="2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3,346,295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478,513</w:t>
            </w:r>
          </w:p>
        </w:tc>
        <w:tc>
          <w:tcPr>
            <w:tcW w:w="0" w:type="dxa"/>
            <w:vAlign w:val="bottom"/>
          </w:tcPr>
          <w:p>
            <w:pPr>
              <w:spacing w:after="0"/>
              <w:rPr>
                <w:sz w:val="1"/>
                <w:szCs w:val="1"/>
                <w:color w:val="auto"/>
              </w:rPr>
            </w:pP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TOTAL LIABILITIES, MEZZANINE EQUITY AND</w:t>
            </w:r>
          </w:p>
        </w:tc>
        <w:tc>
          <w:tcPr>
            <w:tcW w:w="23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2,779,640</w:t>
            </w:r>
          </w:p>
        </w:tc>
        <w:tc>
          <w:tcPr>
            <w:tcW w:w="120" w:type="dxa"/>
            <w:vAlign w:val="bottom"/>
          </w:tcPr>
          <w:p>
            <w:pPr>
              <w:spacing w:after="0"/>
              <w:rPr>
                <w:sz w:val="17"/>
                <w:szCs w:val="17"/>
                <w:color w:val="auto"/>
              </w:rPr>
            </w:pPr>
          </w:p>
        </w:tc>
        <w:tc>
          <w:tcPr>
            <w:tcW w:w="212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4,655,568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665,737</w:t>
            </w:r>
          </w:p>
        </w:tc>
        <w:tc>
          <w:tcPr>
            <w:tcW w:w="0" w:type="dxa"/>
            <w:vAlign w:val="bottom"/>
          </w:tcPr>
          <w:p>
            <w:pPr>
              <w:spacing w:after="0"/>
              <w:rPr>
                <w:sz w:val="1"/>
                <w:szCs w:val="1"/>
                <w:color w:val="auto"/>
              </w:rPr>
            </w:pPr>
          </w:p>
        </w:tc>
      </w:tr>
      <w:tr>
        <w:trPr>
          <w:trHeight w:val="266"/>
        </w:trPr>
        <w:tc>
          <w:tcPr>
            <w:tcW w:w="5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SHAREHOLDERS' (DEFICIT)/EQUITY</w:t>
            </w:r>
          </w:p>
        </w:tc>
        <w:tc>
          <w:tcPr>
            <w:tcW w:w="236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14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1148" w:right="339" w:bottom="744" w:gutter="0" w:footer="0" w:header="0"/>
        </w:sectPr>
      </w:pPr>
    </w:p>
    <w:bookmarkStart w:id="10" w:name="page11"/>
    <w:bookmarkEnd w:id="10"/>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OPERATIONS</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color w:val="auto"/>
        </w:rPr>
        <w:t>AND COMPREHENSIVE INCOME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(All amounts in thousands, except for share, per share data, ADS and per ADS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300" w:type="dxa"/>
            <w:vAlign w:val="bottom"/>
          </w:tcPr>
          <w:p>
            <w:pPr>
              <w:spacing w:after="0"/>
              <w:rPr>
                <w:sz w:val="24"/>
                <w:szCs w:val="24"/>
                <w:color w:val="auto"/>
              </w:rPr>
            </w:pPr>
          </w:p>
        </w:tc>
        <w:tc>
          <w:tcPr>
            <w:tcW w:w="3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9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For the year ended,</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2000" w:type="dxa"/>
            <w:vAlign w:val="bottom"/>
            <w:gridSpan w:val="2"/>
          </w:tcPr>
          <w:p>
            <w:pPr>
              <w:jc w:val="center"/>
              <w:ind w:right="700"/>
              <w:spacing w:after="0" w:line="220"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460" w:type="dxa"/>
            <w:vAlign w:val="bottom"/>
            <w:gridSpan w:val="2"/>
          </w:tcPr>
          <w:p>
            <w:pPr>
              <w:jc w:val="right"/>
              <w:ind w:right="492"/>
              <w:spacing w:after="0" w:line="220" w:lineRule="exact"/>
              <w:rPr>
                <w:sz w:val="20"/>
                <w:szCs w:val="20"/>
                <w:color w:val="auto"/>
              </w:rPr>
            </w:pPr>
            <w:r>
              <w:rPr>
                <w:rFonts w:ascii="Times New Roman" w:cs="Times New Roman" w:eastAsia="Times New Roman" w:hAnsi="Times New Roman"/>
                <w:sz w:val="22"/>
                <w:szCs w:val="22"/>
                <w:b w:val="1"/>
                <w:bCs w:val="1"/>
                <w:color w:val="auto"/>
              </w:rPr>
              <w:t>December 31,</w:t>
            </w:r>
          </w:p>
        </w:tc>
        <w:tc>
          <w:tcPr>
            <w:tcW w:w="320" w:type="dxa"/>
            <w:vAlign w:val="bottom"/>
          </w:tcPr>
          <w:p>
            <w:pPr>
              <w:spacing w:after="0"/>
              <w:rPr>
                <w:sz w:val="19"/>
                <w:szCs w:val="19"/>
                <w:color w:val="auto"/>
              </w:rPr>
            </w:pPr>
          </w:p>
        </w:tc>
        <w:tc>
          <w:tcPr>
            <w:tcW w:w="1680" w:type="dxa"/>
            <w:vAlign w:val="bottom"/>
            <w:gridSpan w:val="2"/>
          </w:tcPr>
          <w:p>
            <w:pPr>
              <w:jc w:val="center"/>
              <w:ind w:right="340"/>
              <w:spacing w:after="0" w:line="220"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460" w:type="dxa"/>
            <w:vAlign w:val="bottom"/>
            <w:gridSpan w:val="2"/>
          </w:tcPr>
          <w:p>
            <w:pPr>
              <w:jc w:val="right"/>
              <w:ind w:right="492"/>
              <w:spacing w:after="0" w:line="220" w:lineRule="exact"/>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86"/>
        </w:trPr>
        <w:tc>
          <w:tcPr>
            <w:tcW w:w="230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680" w:type="dxa"/>
            <w:vAlign w:val="bottom"/>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9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34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1"/>
                <w:szCs w:val="21"/>
                <w:color w:val="auto"/>
              </w:rPr>
            </w:pPr>
          </w:p>
        </w:tc>
        <w:tc>
          <w:tcPr>
            <w:tcW w:w="1320" w:type="dxa"/>
            <w:vAlign w:val="bottom"/>
          </w:tcPr>
          <w:p>
            <w:pPr>
              <w:jc w:val="center"/>
              <w:spacing w:after="0" w:line="251" w:lineRule="exact"/>
              <w:rPr>
                <w:sz w:val="20"/>
                <w:szCs w:val="20"/>
                <w:color w:val="auto"/>
              </w:rPr>
            </w:pPr>
            <w:r>
              <w:rPr>
                <w:rFonts w:ascii="Times New Roman" w:cs="Times New Roman" w:eastAsia="Times New Roman" w:hAnsi="Times New Roman"/>
                <w:sz w:val="22"/>
                <w:szCs w:val="22"/>
                <w:b w:val="1"/>
                <w:bCs w:val="1"/>
                <w:color w:val="auto"/>
                <w:w w:val="97"/>
              </w:rPr>
              <w:t>RMB</w:t>
            </w:r>
          </w:p>
        </w:tc>
        <w:tc>
          <w:tcPr>
            <w:tcW w:w="680" w:type="dxa"/>
            <w:vAlign w:val="bottom"/>
          </w:tcPr>
          <w:p>
            <w:pPr>
              <w:spacing w:after="0"/>
              <w:rPr>
                <w:sz w:val="21"/>
                <w:szCs w:val="21"/>
                <w:color w:val="auto"/>
              </w:rPr>
            </w:pPr>
          </w:p>
        </w:tc>
        <w:tc>
          <w:tcPr>
            <w:tcW w:w="1560" w:type="dxa"/>
            <w:vAlign w:val="bottom"/>
          </w:tcPr>
          <w:p>
            <w:pPr>
              <w:jc w:val="right"/>
              <w:ind w:right="592"/>
              <w:spacing w:after="0" w:line="251" w:lineRule="exact"/>
              <w:rPr>
                <w:sz w:val="20"/>
                <w:szCs w:val="20"/>
                <w:color w:val="auto"/>
              </w:rPr>
            </w:pPr>
            <w:r>
              <w:rPr>
                <w:rFonts w:ascii="Times New Roman" w:cs="Times New Roman" w:eastAsia="Times New Roman" w:hAnsi="Times New Roman"/>
                <w:sz w:val="22"/>
                <w:szCs w:val="22"/>
                <w:b w:val="1"/>
                <w:bCs w:val="1"/>
                <w:color w:val="auto"/>
              </w:rPr>
              <w:t>RMB</w:t>
            </w:r>
          </w:p>
        </w:tc>
        <w:tc>
          <w:tcPr>
            <w:tcW w:w="900" w:type="dxa"/>
            <w:vAlign w:val="bottom"/>
          </w:tcPr>
          <w:p>
            <w:pPr>
              <w:jc w:val="right"/>
              <w:ind w:right="292"/>
              <w:spacing w:after="0" w:line="251" w:lineRule="exact"/>
              <w:rPr>
                <w:sz w:val="20"/>
                <w:szCs w:val="20"/>
                <w:color w:val="auto"/>
              </w:rPr>
            </w:pPr>
            <w:r>
              <w:rPr>
                <w:rFonts w:ascii="Times New Roman" w:cs="Times New Roman" w:eastAsia="Times New Roman" w:hAnsi="Times New Roman"/>
                <w:sz w:val="22"/>
                <w:szCs w:val="22"/>
                <w:b w:val="1"/>
                <w:bCs w:val="1"/>
                <w:color w:val="auto"/>
              </w:rPr>
              <w:t>USD</w:t>
            </w:r>
          </w:p>
        </w:tc>
        <w:tc>
          <w:tcPr>
            <w:tcW w:w="320" w:type="dxa"/>
            <w:vAlign w:val="bottom"/>
          </w:tcPr>
          <w:p>
            <w:pPr>
              <w:spacing w:after="0"/>
              <w:rPr>
                <w:sz w:val="21"/>
                <w:szCs w:val="21"/>
                <w:color w:val="auto"/>
              </w:rPr>
            </w:pPr>
          </w:p>
        </w:tc>
        <w:tc>
          <w:tcPr>
            <w:tcW w:w="1340" w:type="dxa"/>
            <w:vAlign w:val="bottom"/>
          </w:tcPr>
          <w:p>
            <w:pPr>
              <w:jc w:val="center"/>
              <w:spacing w:after="0" w:line="251" w:lineRule="exact"/>
              <w:rPr>
                <w:sz w:val="20"/>
                <w:szCs w:val="20"/>
                <w:color w:val="auto"/>
              </w:rPr>
            </w:pPr>
            <w:r>
              <w:rPr>
                <w:rFonts w:ascii="Times New Roman" w:cs="Times New Roman" w:eastAsia="Times New Roman" w:hAnsi="Times New Roman"/>
                <w:sz w:val="22"/>
                <w:szCs w:val="22"/>
                <w:b w:val="1"/>
                <w:bCs w:val="1"/>
                <w:color w:val="auto"/>
                <w:w w:val="97"/>
              </w:rPr>
              <w:t>RMB</w:t>
            </w:r>
          </w:p>
        </w:tc>
        <w:tc>
          <w:tcPr>
            <w:tcW w:w="340" w:type="dxa"/>
            <w:vAlign w:val="bottom"/>
          </w:tcPr>
          <w:p>
            <w:pPr>
              <w:spacing w:after="0"/>
              <w:rPr>
                <w:sz w:val="21"/>
                <w:szCs w:val="21"/>
                <w:color w:val="auto"/>
              </w:rPr>
            </w:pPr>
          </w:p>
        </w:tc>
        <w:tc>
          <w:tcPr>
            <w:tcW w:w="1520" w:type="dxa"/>
            <w:vAlign w:val="bottom"/>
          </w:tcPr>
          <w:p>
            <w:pPr>
              <w:jc w:val="right"/>
              <w:ind w:right="552"/>
              <w:spacing w:after="0" w:line="251" w:lineRule="exact"/>
              <w:rPr>
                <w:sz w:val="20"/>
                <w:szCs w:val="20"/>
                <w:color w:val="auto"/>
              </w:rPr>
            </w:pPr>
            <w:r>
              <w:rPr>
                <w:rFonts w:ascii="Times New Roman" w:cs="Times New Roman" w:eastAsia="Times New Roman" w:hAnsi="Times New Roman"/>
                <w:sz w:val="22"/>
                <w:szCs w:val="22"/>
                <w:b w:val="1"/>
                <w:bCs w:val="1"/>
                <w:color w:val="auto"/>
              </w:rPr>
              <w:t>RMB</w:t>
            </w:r>
          </w:p>
        </w:tc>
        <w:tc>
          <w:tcPr>
            <w:tcW w:w="940" w:type="dxa"/>
            <w:vAlign w:val="bottom"/>
          </w:tcPr>
          <w:p>
            <w:pPr>
              <w:jc w:val="right"/>
              <w:ind w:right="292"/>
              <w:spacing w:after="0" w:line="251" w:lineRule="exact"/>
              <w:rPr>
                <w:sz w:val="20"/>
                <w:szCs w:val="20"/>
                <w:color w:val="auto"/>
              </w:rPr>
            </w:pPr>
            <w:r>
              <w:rPr>
                <w:rFonts w:ascii="Times New Roman" w:cs="Times New Roman" w:eastAsia="Times New Roman" w:hAnsi="Times New Roman"/>
                <w:sz w:val="22"/>
                <w:szCs w:val="22"/>
                <w:b w:val="1"/>
                <w:bCs w:val="1"/>
                <w:color w:val="auto"/>
              </w:rPr>
              <w:t>USD</w:t>
            </w:r>
          </w:p>
        </w:tc>
        <w:tc>
          <w:tcPr>
            <w:tcW w:w="0" w:type="dxa"/>
            <w:vAlign w:val="bottom"/>
          </w:tcPr>
          <w:p>
            <w:pPr>
              <w:spacing w:after="0"/>
              <w:rPr>
                <w:sz w:val="1"/>
                <w:szCs w:val="1"/>
                <w:color w:val="auto"/>
              </w:rPr>
            </w:pPr>
          </w:p>
        </w:tc>
      </w:tr>
      <w:tr>
        <w:trPr>
          <w:trHeight w:val="266"/>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Revenues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888,757</w:t>
            </w:r>
          </w:p>
        </w:tc>
        <w:tc>
          <w:tcPr>
            <w:tcW w:w="680" w:type="dxa"/>
            <w:vAlign w:val="bottom"/>
          </w:tcPr>
          <w:p>
            <w:pPr>
              <w:spacing w:after="0"/>
              <w:rPr>
                <w:sz w:val="23"/>
                <w:szCs w:val="23"/>
                <w:color w:val="auto"/>
              </w:rPr>
            </w:pP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1,175,268</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168,061</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3,284,525</w:t>
            </w:r>
          </w:p>
        </w:tc>
        <w:tc>
          <w:tcPr>
            <w:tcW w:w="340" w:type="dxa"/>
            <w:vAlign w:val="bottom"/>
          </w:tcPr>
          <w:p>
            <w:pPr>
              <w:spacing w:after="0"/>
              <w:rPr>
                <w:sz w:val="23"/>
                <w:szCs w:val="23"/>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4,373,153</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625,353</w:t>
            </w: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Operating costs and</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Operations and</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support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(42,577)</w:t>
            </w:r>
          </w:p>
        </w:tc>
        <w:tc>
          <w:tcPr>
            <w:tcW w:w="680" w:type="dxa"/>
            <w:vAlign w:val="bottom"/>
          </w:tcPr>
          <w:p>
            <w:pPr>
              <w:spacing w:after="0"/>
              <w:rPr>
                <w:sz w:val="23"/>
                <w:szCs w:val="23"/>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(36,736)</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(5,253)</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(166,331)</w:t>
            </w:r>
          </w:p>
        </w:tc>
        <w:tc>
          <w:tcPr>
            <w:tcW w:w="340" w:type="dxa"/>
            <w:vAlign w:val="bottom"/>
          </w:tcPr>
          <w:p>
            <w:pPr>
              <w:spacing w:after="0"/>
              <w:rPr>
                <w:sz w:val="23"/>
                <w:szCs w:val="23"/>
                <w:color w:val="auto"/>
              </w:rPr>
            </w:pPr>
          </w:p>
        </w:tc>
        <w:tc>
          <w:tcPr>
            <w:tcW w:w="15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(167,458)</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(23,946)</w:t>
            </w: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Selling and marketing</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(373,993)</w:t>
            </w:r>
          </w:p>
        </w:tc>
        <w:tc>
          <w:tcPr>
            <w:tcW w:w="680" w:type="dxa"/>
            <w:vAlign w:val="bottom"/>
          </w:tcPr>
          <w:p>
            <w:pPr>
              <w:spacing w:after="0"/>
              <w:rPr>
                <w:sz w:val="23"/>
                <w:szCs w:val="23"/>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(552,342)</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(78,984)</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(1,789,908)</w:t>
            </w:r>
          </w:p>
        </w:tc>
        <w:tc>
          <w:tcPr>
            <w:tcW w:w="340" w:type="dxa"/>
            <w:vAlign w:val="bottom"/>
          </w:tcPr>
          <w:p>
            <w:pPr>
              <w:spacing w:after="0"/>
              <w:rPr>
                <w:sz w:val="23"/>
                <w:szCs w:val="23"/>
                <w:color w:val="auto"/>
              </w:rPr>
            </w:pPr>
          </w:p>
        </w:tc>
        <w:tc>
          <w:tcPr>
            <w:tcW w:w="15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(2,217,159)</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(317,050)</w:t>
            </w: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General and</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administrative</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(102,659)</w:t>
            </w:r>
          </w:p>
        </w:tc>
        <w:tc>
          <w:tcPr>
            <w:tcW w:w="680" w:type="dxa"/>
            <w:vAlign w:val="bottom"/>
          </w:tcPr>
          <w:p>
            <w:pPr>
              <w:spacing w:after="0"/>
              <w:rPr>
                <w:sz w:val="23"/>
                <w:szCs w:val="23"/>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(79,560)</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(11,377)</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(238,639)</w:t>
            </w:r>
          </w:p>
        </w:tc>
        <w:tc>
          <w:tcPr>
            <w:tcW w:w="340" w:type="dxa"/>
            <w:vAlign w:val="bottom"/>
          </w:tcPr>
          <w:p>
            <w:pPr>
              <w:spacing w:after="0"/>
              <w:rPr>
                <w:sz w:val="23"/>
                <w:szCs w:val="23"/>
                <w:color w:val="auto"/>
              </w:rPr>
            </w:pPr>
          </w:p>
        </w:tc>
        <w:tc>
          <w:tcPr>
            <w:tcW w:w="15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(286,843)</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(41,018)</w:t>
            </w: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Research and</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8"/>
              </w:rPr>
              <w:t>development expenses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(80,320)</w:t>
            </w:r>
          </w:p>
        </w:tc>
        <w:tc>
          <w:tcPr>
            <w:tcW w:w="680" w:type="dxa"/>
            <w:vAlign w:val="bottom"/>
          </w:tcPr>
          <w:p>
            <w:pPr>
              <w:spacing w:after="0"/>
              <w:rPr>
                <w:sz w:val="24"/>
                <w:szCs w:val="24"/>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(111,732)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(15,977)</w:t>
            </w: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(231,041)</w:t>
            </w:r>
          </w:p>
        </w:tc>
        <w:tc>
          <w:tcPr>
            <w:tcW w:w="340" w:type="dxa"/>
            <w:vAlign w:val="bottom"/>
          </w:tcPr>
          <w:p>
            <w:pPr>
              <w:spacing w:after="0"/>
              <w:rPr>
                <w:sz w:val="24"/>
                <w:szCs w:val="24"/>
                <w:color w:val="auto"/>
              </w:rPr>
            </w:pPr>
          </w:p>
        </w:tc>
        <w:tc>
          <w:tcPr>
            <w:tcW w:w="1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(365,113)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(52,210)</w:t>
            </w:r>
          </w:p>
        </w:tc>
        <w:tc>
          <w:tcPr>
            <w:tcW w:w="0" w:type="dxa"/>
            <w:vAlign w:val="bottom"/>
          </w:tcPr>
          <w:p>
            <w:pPr>
              <w:spacing w:after="0"/>
              <w:rPr>
                <w:sz w:val="1"/>
                <w:szCs w:val="1"/>
                <w:color w:val="auto"/>
              </w:rPr>
            </w:pPr>
          </w:p>
        </w:tc>
      </w:tr>
      <w:tr>
        <w:trPr>
          <w:trHeight w:val="207"/>
        </w:trPr>
        <w:tc>
          <w:tcPr>
            <w:tcW w:w="23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Total operating costs</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and 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(599,549)</w:t>
            </w:r>
          </w:p>
        </w:tc>
        <w:tc>
          <w:tcPr>
            <w:tcW w:w="680" w:type="dxa"/>
            <w:vAlign w:val="bottom"/>
          </w:tcPr>
          <w:p>
            <w:pPr>
              <w:spacing w:after="0"/>
              <w:rPr>
                <w:sz w:val="23"/>
                <w:szCs w:val="23"/>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(780,370)</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(111,591)</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(2,425,919)</w:t>
            </w:r>
          </w:p>
        </w:tc>
        <w:tc>
          <w:tcPr>
            <w:tcW w:w="340" w:type="dxa"/>
            <w:vAlign w:val="bottom"/>
          </w:tcPr>
          <w:p>
            <w:pPr>
              <w:spacing w:after="0"/>
              <w:rPr>
                <w:sz w:val="23"/>
                <w:szCs w:val="23"/>
                <w:color w:val="auto"/>
              </w:rPr>
            </w:pPr>
          </w:p>
        </w:tc>
        <w:tc>
          <w:tcPr>
            <w:tcW w:w="152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(3,036,573)</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(434,224)</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income:</w:t>
            </w: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Interest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5,879</w:t>
            </w:r>
          </w:p>
        </w:tc>
        <w:tc>
          <w:tcPr>
            <w:tcW w:w="680" w:type="dxa"/>
            <w:vAlign w:val="bottom"/>
          </w:tcPr>
          <w:p>
            <w:pPr>
              <w:spacing w:after="0"/>
              <w:rPr>
                <w:sz w:val="23"/>
                <w:szCs w:val="23"/>
                <w:color w:val="auto"/>
              </w:rPr>
            </w:pP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5,061</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724</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24,310</w:t>
            </w:r>
          </w:p>
        </w:tc>
        <w:tc>
          <w:tcPr>
            <w:tcW w:w="340" w:type="dxa"/>
            <w:vAlign w:val="bottom"/>
          </w:tcPr>
          <w:p>
            <w:pPr>
              <w:spacing w:after="0"/>
              <w:rPr>
                <w:sz w:val="23"/>
                <w:szCs w:val="23"/>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22,092</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3,159</w:t>
            </w:r>
          </w:p>
        </w:tc>
        <w:tc>
          <w:tcPr>
            <w:tcW w:w="0" w:type="dxa"/>
            <w:vAlign w:val="bottom"/>
          </w:tcPr>
          <w:p>
            <w:pPr>
              <w:spacing w:after="0"/>
              <w:rPr>
                <w:sz w:val="1"/>
                <w:szCs w:val="1"/>
                <w:color w:val="auto"/>
              </w:rPr>
            </w:pPr>
          </w:p>
        </w:tc>
      </w:tr>
      <w:tr>
        <w:trPr>
          <w:trHeight w:val="270"/>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Exchange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2,407</w:t>
            </w:r>
          </w:p>
        </w:tc>
        <w:tc>
          <w:tcPr>
            <w:tcW w:w="680" w:type="dxa"/>
            <w:vAlign w:val="bottom"/>
          </w:tcPr>
          <w:p>
            <w:pPr>
              <w:spacing w:after="0"/>
              <w:rPr>
                <w:sz w:val="23"/>
                <w:szCs w:val="23"/>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(1,445)</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w:t>
            </w:r>
          </w:p>
        </w:tc>
        <w:tc>
          <w:tcPr>
            <w:tcW w:w="340" w:type="dxa"/>
            <w:vAlign w:val="bottom"/>
          </w:tcPr>
          <w:p>
            <w:pPr>
              <w:spacing w:after="0"/>
              <w:rPr>
                <w:sz w:val="23"/>
                <w:szCs w:val="23"/>
                <w:color w:val="auto"/>
              </w:rPr>
            </w:pPr>
          </w:p>
        </w:tc>
        <w:tc>
          <w:tcPr>
            <w:tcW w:w="15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(4,246)</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(607)</w:t>
            </w:r>
          </w:p>
        </w:tc>
        <w:tc>
          <w:tcPr>
            <w:tcW w:w="0" w:type="dxa"/>
            <w:vAlign w:val="bottom"/>
          </w:tcPr>
          <w:p>
            <w:pPr>
              <w:spacing w:after="0"/>
              <w:rPr>
                <w:sz w:val="1"/>
                <w:szCs w:val="1"/>
                <w:color w:val="auto"/>
              </w:rPr>
            </w:pPr>
          </w:p>
        </w:tc>
      </w:tr>
      <w:tr>
        <w:trPr>
          <w:trHeight w:val="270"/>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Investment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3,862</w:t>
            </w:r>
          </w:p>
        </w:tc>
        <w:tc>
          <w:tcPr>
            <w:tcW w:w="680" w:type="dxa"/>
            <w:vAlign w:val="bottom"/>
          </w:tcPr>
          <w:p>
            <w:pPr>
              <w:spacing w:after="0"/>
              <w:rPr>
                <w:sz w:val="23"/>
                <w:szCs w:val="23"/>
                <w:color w:val="auto"/>
              </w:rPr>
            </w:pP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14,360</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2,053</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6,423</w:t>
            </w:r>
          </w:p>
        </w:tc>
        <w:tc>
          <w:tcPr>
            <w:tcW w:w="340" w:type="dxa"/>
            <w:vAlign w:val="bottom"/>
          </w:tcPr>
          <w:p>
            <w:pPr>
              <w:spacing w:after="0"/>
              <w:rPr>
                <w:sz w:val="23"/>
                <w:szCs w:val="23"/>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45,197</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6,463</w:t>
            </w:r>
          </w:p>
        </w:tc>
        <w:tc>
          <w:tcPr>
            <w:tcW w:w="0" w:type="dxa"/>
            <w:vAlign w:val="bottom"/>
          </w:tcPr>
          <w:p>
            <w:pPr>
              <w:spacing w:after="0"/>
              <w:rPr>
                <w:sz w:val="1"/>
                <w:szCs w:val="1"/>
                <w:color w:val="auto"/>
              </w:rPr>
            </w:pPr>
          </w:p>
        </w:tc>
      </w:tr>
      <w:tr>
        <w:trPr>
          <w:trHeight w:val="282"/>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Others, net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680" w:type="dxa"/>
            <w:vAlign w:val="bottom"/>
          </w:tcPr>
          <w:p>
            <w:pPr>
              <w:spacing w:after="0"/>
              <w:rPr>
                <w:sz w:val="24"/>
                <w:szCs w:val="24"/>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(61)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1,755</w:t>
            </w:r>
          </w:p>
        </w:tc>
        <w:tc>
          <w:tcPr>
            <w:tcW w:w="340" w:type="dxa"/>
            <w:vAlign w:val="bottom"/>
          </w:tcPr>
          <w:p>
            <w:pPr>
              <w:spacing w:after="0"/>
              <w:rPr>
                <w:sz w:val="24"/>
                <w:szCs w:val="24"/>
                <w:color w:val="auto"/>
              </w:rPr>
            </w:pPr>
          </w:p>
        </w:tc>
        <w:tc>
          <w:tcPr>
            <w:tcW w:w="1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9,088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1,300</w:t>
            </w:r>
          </w:p>
        </w:tc>
        <w:tc>
          <w:tcPr>
            <w:tcW w:w="0" w:type="dxa"/>
            <w:vAlign w:val="bottom"/>
          </w:tcPr>
          <w:p>
            <w:pPr>
              <w:spacing w:after="0"/>
              <w:rPr>
                <w:sz w:val="1"/>
                <w:szCs w:val="1"/>
                <w:color w:val="auto"/>
              </w:rPr>
            </w:pPr>
          </w:p>
        </w:tc>
      </w:tr>
      <w:tr>
        <w:trPr>
          <w:trHeight w:val="207"/>
        </w:trPr>
        <w:tc>
          <w:tcPr>
            <w:tcW w:w="23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Income before income</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301,334</w:t>
            </w:r>
          </w:p>
        </w:tc>
        <w:tc>
          <w:tcPr>
            <w:tcW w:w="680" w:type="dxa"/>
            <w:vAlign w:val="bottom"/>
          </w:tcPr>
          <w:p>
            <w:pPr>
              <w:spacing w:after="0"/>
              <w:rPr>
                <w:sz w:val="23"/>
                <w:szCs w:val="23"/>
                <w:color w:val="auto"/>
              </w:rPr>
            </w:pP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412,813</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59,031</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891,414</w:t>
            </w:r>
          </w:p>
        </w:tc>
        <w:tc>
          <w:tcPr>
            <w:tcW w:w="340" w:type="dxa"/>
            <w:vAlign w:val="bottom"/>
          </w:tcPr>
          <w:p>
            <w:pPr>
              <w:spacing w:after="0"/>
              <w:rPr>
                <w:sz w:val="23"/>
                <w:szCs w:val="23"/>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1,408,711</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201,444</w:t>
            </w:r>
          </w:p>
        </w:tc>
        <w:tc>
          <w:tcPr>
            <w:tcW w:w="0" w:type="dxa"/>
            <w:vAlign w:val="bottom"/>
          </w:tcPr>
          <w:p>
            <w:pPr>
              <w:spacing w:after="0"/>
              <w:rPr>
                <w:sz w:val="1"/>
                <w:szCs w:val="1"/>
                <w:color w:val="auto"/>
              </w:rPr>
            </w:pPr>
          </w:p>
        </w:tc>
      </w:tr>
      <w:tr>
        <w:trPr>
          <w:trHeight w:val="282"/>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Income tax expenses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(9,035)</w:t>
            </w:r>
          </w:p>
        </w:tc>
        <w:tc>
          <w:tcPr>
            <w:tcW w:w="680" w:type="dxa"/>
            <w:vAlign w:val="bottom"/>
          </w:tcPr>
          <w:p>
            <w:pPr>
              <w:spacing w:after="0"/>
              <w:rPr>
                <w:sz w:val="24"/>
                <w:szCs w:val="24"/>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(75,430)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(10,786)</w:t>
            </w: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(25,568)</w:t>
            </w:r>
          </w:p>
        </w:tc>
        <w:tc>
          <w:tcPr>
            <w:tcW w:w="340" w:type="dxa"/>
            <w:vAlign w:val="bottom"/>
          </w:tcPr>
          <w:p>
            <w:pPr>
              <w:spacing w:after="0"/>
              <w:rPr>
                <w:sz w:val="24"/>
                <w:szCs w:val="24"/>
                <w:color w:val="auto"/>
              </w:rPr>
            </w:pPr>
          </w:p>
        </w:tc>
        <w:tc>
          <w:tcPr>
            <w:tcW w:w="1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(101,171)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(14,467)</w:t>
            </w:r>
          </w:p>
        </w:tc>
        <w:tc>
          <w:tcPr>
            <w:tcW w:w="0" w:type="dxa"/>
            <w:vAlign w:val="bottom"/>
          </w:tcPr>
          <w:p>
            <w:pPr>
              <w:spacing w:after="0"/>
              <w:rPr>
                <w:sz w:val="1"/>
                <w:szCs w:val="1"/>
                <w:color w:val="auto"/>
              </w:rPr>
            </w:pPr>
          </w:p>
        </w:tc>
      </w:tr>
      <w:tr>
        <w:trPr>
          <w:trHeight w:val="251"/>
        </w:trPr>
        <w:tc>
          <w:tcPr>
            <w:tcW w:w="230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Net income</w:t>
            </w:r>
          </w:p>
        </w:tc>
        <w:tc>
          <w:tcPr>
            <w:tcW w:w="13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b w:val="1"/>
                <w:bCs w:val="1"/>
                <w:color w:val="auto"/>
              </w:rPr>
              <w:t>292,299</w:t>
            </w:r>
          </w:p>
        </w:tc>
        <w:tc>
          <w:tcPr>
            <w:tcW w:w="680" w:type="dxa"/>
            <w:vAlign w:val="bottom"/>
          </w:tcPr>
          <w:p>
            <w:pPr>
              <w:spacing w:after="0"/>
              <w:rPr>
                <w:sz w:val="21"/>
                <w:szCs w:val="21"/>
                <w:color w:val="auto"/>
              </w:rPr>
            </w:pPr>
          </w:p>
        </w:tc>
        <w:tc>
          <w:tcPr>
            <w:tcW w:w="1560" w:type="dxa"/>
            <w:vAlign w:val="bottom"/>
          </w:tcPr>
          <w:p>
            <w:pPr>
              <w:jc w:val="right"/>
              <w:ind w:right="332"/>
              <w:spacing w:after="0" w:line="251" w:lineRule="exact"/>
              <w:rPr>
                <w:sz w:val="20"/>
                <w:szCs w:val="20"/>
                <w:color w:val="auto"/>
              </w:rPr>
            </w:pPr>
            <w:r>
              <w:rPr>
                <w:rFonts w:ascii="Times New Roman" w:cs="Times New Roman" w:eastAsia="Times New Roman" w:hAnsi="Times New Roman"/>
                <w:sz w:val="22"/>
                <w:szCs w:val="22"/>
                <w:b w:val="1"/>
                <w:bCs w:val="1"/>
                <w:color w:val="auto"/>
              </w:rPr>
              <w:t>337,383</w:t>
            </w:r>
          </w:p>
        </w:tc>
        <w:tc>
          <w:tcPr>
            <w:tcW w:w="90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b w:val="1"/>
                <w:bCs w:val="1"/>
                <w:color w:val="auto"/>
              </w:rPr>
              <w:t>48,245</w:t>
            </w:r>
          </w:p>
        </w:tc>
        <w:tc>
          <w:tcPr>
            <w:tcW w:w="320" w:type="dxa"/>
            <w:vAlign w:val="bottom"/>
          </w:tcPr>
          <w:p>
            <w:pPr>
              <w:spacing w:after="0"/>
              <w:rPr>
                <w:sz w:val="21"/>
                <w:szCs w:val="21"/>
                <w:color w:val="auto"/>
              </w:rPr>
            </w:pPr>
          </w:p>
        </w:tc>
        <w:tc>
          <w:tcPr>
            <w:tcW w:w="13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b w:val="1"/>
                <w:bCs w:val="1"/>
                <w:color w:val="auto"/>
              </w:rPr>
              <w:t>865,846</w:t>
            </w:r>
          </w:p>
        </w:tc>
        <w:tc>
          <w:tcPr>
            <w:tcW w:w="340" w:type="dxa"/>
            <w:vAlign w:val="bottom"/>
          </w:tcPr>
          <w:p>
            <w:pPr>
              <w:spacing w:after="0"/>
              <w:rPr>
                <w:sz w:val="21"/>
                <w:szCs w:val="21"/>
                <w:color w:val="auto"/>
              </w:rPr>
            </w:pPr>
          </w:p>
        </w:tc>
        <w:tc>
          <w:tcPr>
            <w:tcW w:w="1520" w:type="dxa"/>
            <w:vAlign w:val="bottom"/>
          </w:tcPr>
          <w:p>
            <w:pPr>
              <w:jc w:val="right"/>
              <w:ind w:right="292"/>
              <w:spacing w:after="0" w:line="251" w:lineRule="exact"/>
              <w:rPr>
                <w:sz w:val="20"/>
                <w:szCs w:val="20"/>
                <w:color w:val="auto"/>
              </w:rPr>
            </w:pPr>
            <w:r>
              <w:rPr>
                <w:rFonts w:ascii="Times New Roman" w:cs="Times New Roman" w:eastAsia="Times New Roman" w:hAnsi="Times New Roman"/>
                <w:sz w:val="22"/>
                <w:szCs w:val="22"/>
                <w:b w:val="1"/>
                <w:bCs w:val="1"/>
                <w:color w:val="auto"/>
              </w:rPr>
              <w:t>1,307,540</w:t>
            </w:r>
          </w:p>
        </w:tc>
        <w:tc>
          <w:tcPr>
            <w:tcW w:w="9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b w:val="1"/>
                <w:bCs w:val="1"/>
                <w:color w:val="auto"/>
              </w:rPr>
              <w:t>186,977</w:t>
            </w: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Accretion to preferred</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shares redemption</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value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(97,009)</w:t>
            </w:r>
          </w:p>
        </w:tc>
        <w:tc>
          <w:tcPr>
            <w:tcW w:w="680" w:type="dxa"/>
            <w:vAlign w:val="bottom"/>
          </w:tcPr>
          <w:p>
            <w:pPr>
              <w:spacing w:after="0"/>
              <w:rPr>
                <w:sz w:val="24"/>
                <w:szCs w:val="24"/>
                <w:color w:val="auto"/>
              </w:rPr>
            </w:pPr>
          </w:p>
        </w:tc>
        <w:tc>
          <w:tcPr>
            <w:tcW w:w="1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(429,931)</w:t>
            </w:r>
          </w:p>
        </w:tc>
        <w:tc>
          <w:tcPr>
            <w:tcW w:w="340" w:type="dxa"/>
            <w:vAlign w:val="bottom"/>
          </w:tcPr>
          <w:p>
            <w:pPr>
              <w:spacing w:after="0"/>
              <w:rPr>
                <w:sz w:val="24"/>
                <w:szCs w:val="24"/>
                <w:color w:val="auto"/>
              </w:rPr>
            </w:pPr>
          </w:p>
        </w:tc>
        <w:tc>
          <w:tcPr>
            <w:tcW w:w="1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700,795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100,212</w:t>
            </w:r>
          </w:p>
        </w:tc>
        <w:tc>
          <w:tcPr>
            <w:tcW w:w="0" w:type="dxa"/>
            <w:vAlign w:val="bottom"/>
          </w:tcPr>
          <w:p>
            <w:pPr>
              <w:spacing w:after="0"/>
              <w:rPr>
                <w:sz w:val="1"/>
                <w:szCs w:val="1"/>
                <w:color w:val="auto"/>
              </w:rPr>
            </w:pPr>
          </w:p>
        </w:tc>
      </w:tr>
      <w:tr>
        <w:trPr>
          <w:trHeight w:val="207"/>
        </w:trPr>
        <w:tc>
          <w:tcPr>
            <w:tcW w:w="23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income attributable</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to Yuanbao Inc.’s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195,290</w:t>
            </w:r>
          </w:p>
        </w:tc>
        <w:tc>
          <w:tcPr>
            <w:tcW w:w="680" w:type="dxa"/>
            <w:vAlign w:val="bottom"/>
          </w:tcPr>
          <w:p>
            <w:pPr>
              <w:spacing w:after="0"/>
              <w:rPr>
                <w:sz w:val="21"/>
                <w:szCs w:val="21"/>
                <w:color w:val="auto"/>
              </w:rPr>
            </w:pPr>
          </w:p>
        </w:tc>
        <w:tc>
          <w:tcPr>
            <w:tcW w:w="156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337,383</w:t>
            </w:r>
          </w:p>
        </w:tc>
        <w:tc>
          <w:tcPr>
            <w:tcW w:w="9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48,245</w:t>
            </w:r>
          </w:p>
        </w:tc>
        <w:tc>
          <w:tcPr>
            <w:tcW w:w="32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435,915</w:t>
            </w:r>
          </w:p>
        </w:tc>
        <w:tc>
          <w:tcPr>
            <w:tcW w:w="340" w:type="dxa"/>
            <w:vAlign w:val="bottom"/>
          </w:tcPr>
          <w:p>
            <w:pPr>
              <w:spacing w:after="0"/>
              <w:rPr>
                <w:sz w:val="21"/>
                <w:szCs w:val="21"/>
                <w:color w:val="auto"/>
              </w:rPr>
            </w:pPr>
          </w:p>
        </w:tc>
        <w:tc>
          <w:tcPr>
            <w:tcW w:w="15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2,008,335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287,189</w:t>
            </w:r>
          </w:p>
        </w:tc>
        <w:tc>
          <w:tcPr>
            <w:tcW w:w="0" w:type="dxa"/>
            <w:vAlign w:val="bottom"/>
          </w:tcPr>
          <w:p>
            <w:pPr>
              <w:spacing w:after="0"/>
              <w:rPr>
                <w:sz w:val="1"/>
                <w:szCs w:val="1"/>
                <w:color w:val="auto"/>
              </w:rPr>
            </w:pPr>
          </w:p>
        </w:tc>
      </w:tr>
      <w:tr>
        <w:trPr>
          <w:trHeight w:val="266"/>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ordinary shareholders</w:t>
            </w:r>
          </w:p>
        </w:tc>
        <w:tc>
          <w:tcPr>
            <w:tcW w:w="1320" w:type="dxa"/>
            <w:vAlign w:val="bottom"/>
            <w:tcBorders>
              <w:bottom w:val="single" w:sz="8" w:color="auto"/>
            </w:tcBorders>
            <w:vMerge w:val="continue"/>
          </w:tcPr>
          <w:p>
            <w:pPr>
              <w:spacing w:after="0"/>
              <w:rPr>
                <w:sz w:val="22"/>
                <w:szCs w:val="22"/>
                <w:color w:val="auto"/>
              </w:rPr>
            </w:pPr>
          </w:p>
        </w:tc>
        <w:tc>
          <w:tcPr>
            <w:tcW w:w="680" w:type="dxa"/>
            <w:vAlign w:val="bottom"/>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6"/>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292,299</w:t>
            </w:r>
          </w:p>
        </w:tc>
        <w:tc>
          <w:tcPr>
            <w:tcW w:w="680" w:type="dxa"/>
            <w:vAlign w:val="bottom"/>
          </w:tcPr>
          <w:p>
            <w:pPr>
              <w:spacing w:after="0"/>
              <w:rPr>
                <w:sz w:val="24"/>
                <w:szCs w:val="24"/>
                <w:color w:val="auto"/>
              </w:rPr>
            </w:pP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337,383</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48,245</w:t>
            </w: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865,846</w:t>
            </w:r>
          </w:p>
        </w:tc>
        <w:tc>
          <w:tcPr>
            <w:tcW w:w="340" w:type="dxa"/>
            <w:vAlign w:val="bottom"/>
          </w:tcPr>
          <w:p>
            <w:pPr>
              <w:spacing w:after="0"/>
              <w:rPr>
                <w:sz w:val="24"/>
                <w:szCs w:val="24"/>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1,307,540</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186,977</w:t>
            </w: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Other comprehensive</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income/(loss):</w:t>
            </w: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Foreign currency</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translation</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adjustments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5,665</w:t>
            </w:r>
          </w:p>
        </w:tc>
        <w:tc>
          <w:tcPr>
            <w:tcW w:w="680" w:type="dxa"/>
            <w:vAlign w:val="bottom"/>
          </w:tcPr>
          <w:p>
            <w:pPr>
              <w:spacing w:after="0"/>
              <w:rPr>
                <w:sz w:val="24"/>
                <w:szCs w:val="24"/>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(4,225)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(604)</w:t>
            </w: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3,326</w:t>
            </w:r>
          </w:p>
        </w:tc>
        <w:tc>
          <w:tcPr>
            <w:tcW w:w="340" w:type="dxa"/>
            <w:vAlign w:val="bottom"/>
          </w:tcPr>
          <w:p>
            <w:pPr>
              <w:spacing w:after="0"/>
              <w:rPr>
                <w:sz w:val="24"/>
                <w:szCs w:val="24"/>
                <w:color w:val="auto"/>
              </w:rPr>
            </w:pPr>
          </w:p>
        </w:tc>
        <w:tc>
          <w:tcPr>
            <w:tcW w:w="1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(9,300)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(1,330)</w:t>
            </w:r>
          </w:p>
        </w:tc>
        <w:tc>
          <w:tcPr>
            <w:tcW w:w="0" w:type="dxa"/>
            <w:vAlign w:val="bottom"/>
          </w:tcPr>
          <w:p>
            <w:pPr>
              <w:spacing w:after="0"/>
              <w:rPr>
                <w:sz w:val="1"/>
                <w:szCs w:val="1"/>
                <w:color w:val="auto"/>
              </w:rPr>
            </w:pPr>
          </w:p>
        </w:tc>
      </w:tr>
      <w:tr>
        <w:trPr>
          <w:trHeight w:val="207"/>
        </w:trPr>
        <w:tc>
          <w:tcPr>
            <w:tcW w:w="23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Total comprehensive</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297,964</w:t>
            </w:r>
          </w:p>
        </w:tc>
        <w:tc>
          <w:tcPr>
            <w:tcW w:w="680" w:type="dxa"/>
            <w:vAlign w:val="bottom"/>
          </w:tcPr>
          <w:p>
            <w:pPr>
              <w:spacing w:after="0"/>
              <w:rPr>
                <w:sz w:val="23"/>
                <w:szCs w:val="23"/>
                <w:color w:val="auto"/>
              </w:rPr>
            </w:pP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333,158</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47,641</w:t>
            </w:r>
          </w:p>
        </w:tc>
        <w:tc>
          <w:tcPr>
            <w:tcW w:w="3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869,172</w:t>
            </w:r>
          </w:p>
        </w:tc>
        <w:tc>
          <w:tcPr>
            <w:tcW w:w="340" w:type="dxa"/>
            <w:vAlign w:val="bottom"/>
          </w:tcPr>
          <w:p>
            <w:pPr>
              <w:spacing w:after="0"/>
              <w:rPr>
                <w:sz w:val="23"/>
                <w:szCs w:val="23"/>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1,298,240</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185,647</w:t>
            </w: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Accretion to preferred</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shares redemption</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value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(97,009)</w:t>
            </w:r>
          </w:p>
        </w:tc>
        <w:tc>
          <w:tcPr>
            <w:tcW w:w="680" w:type="dxa"/>
            <w:vAlign w:val="bottom"/>
          </w:tcPr>
          <w:p>
            <w:pPr>
              <w:spacing w:after="0"/>
              <w:rPr>
                <w:sz w:val="24"/>
                <w:szCs w:val="24"/>
                <w:color w:val="auto"/>
              </w:rPr>
            </w:pPr>
          </w:p>
        </w:tc>
        <w:tc>
          <w:tcPr>
            <w:tcW w:w="1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(429,931)</w:t>
            </w:r>
          </w:p>
        </w:tc>
        <w:tc>
          <w:tcPr>
            <w:tcW w:w="340" w:type="dxa"/>
            <w:vAlign w:val="bottom"/>
          </w:tcPr>
          <w:p>
            <w:pPr>
              <w:spacing w:after="0"/>
              <w:rPr>
                <w:sz w:val="24"/>
                <w:szCs w:val="24"/>
                <w:color w:val="auto"/>
              </w:rPr>
            </w:pPr>
          </w:p>
        </w:tc>
        <w:tc>
          <w:tcPr>
            <w:tcW w:w="1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700,795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100,212</w:t>
            </w:r>
          </w:p>
        </w:tc>
        <w:tc>
          <w:tcPr>
            <w:tcW w:w="0" w:type="dxa"/>
            <w:vAlign w:val="bottom"/>
          </w:tcPr>
          <w:p>
            <w:pPr>
              <w:spacing w:after="0"/>
              <w:rPr>
                <w:sz w:val="1"/>
                <w:szCs w:val="1"/>
                <w:color w:val="auto"/>
              </w:rPr>
            </w:pPr>
          </w:p>
        </w:tc>
      </w:tr>
      <w:tr>
        <w:trPr>
          <w:trHeight w:val="207"/>
        </w:trPr>
        <w:tc>
          <w:tcPr>
            <w:tcW w:w="23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Comprehensive income</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attributable to Yuanbao</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Inc.’s ordinary</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200,955</w:t>
            </w:r>
          </w:p>
        </w:tc>
        <w:tc>
          <w:tcPr>
            <w:tcW w:w="680" w:type="dxa"/>
            <w:vAlign w:val="bottom"/>
          </w:tcPr>
          <w:p>
            <w:pPr>
              <w:spacing w:after="0"/>
              <w:rPr>
                <w:sz w:val="21"/>
                <w:szCs w:val="21"/>
                <w:color w:val="auto"/>
              </w:rPr>
            </w:pPr>
          </w:p>
        </w:tc>
        <w:tc>
          <w:tcPr>
            <w:tcW w:w="156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333,158</w:t>
            </w:r>
          </w:p>
        </w:tc>
        <w:tc>
          <w:tcPr>
            <w:tcW w:w="9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47,641</w:t>
            </w:r>
          </w:p>
        </w:tc>
        <w:tc>
          <w:tcPr>
            <w:tcW w:w="32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439,241</w:t>
            </w:r>
          </w:p>
        </w:tc>
        <w:tc>
          <w:tcPr>
            <w:tcW w:w="340" w:type="dxa"/>
            <w:vAlign w:val="bottom"/>
          </w:tcPr>
          <w:p>
            <w:pPr>
              <w:spacing w:after="0"/>
              <w:rPr>
                <w:sz w:val="21"/>
                <w:szCs w:val="21"/>
                <w:color w:val="auto"/>
              </w:rPr>
            </w:pPr>
          </w:p>
        </w:tc>
        <w:tc>
          <w:tcPr>
            <w:tcW w:w="152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1,999,035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285,859</w:t>
            </w:r>
          </w:p>
        </w:tc>
        <w:tc>
          <w:tcPr>
            <w:tcW w:w="0" w:type="dxa"/>
            <w:vAlign w:val="bottom"/>
          </w:tcPr>
          <w:p>
            <w:pPr>
              <w:spacing w:after="0"/>
              <w:rPr>
                <w:sz w:val="1"/>
                <w:szCs w:val="1"/>
                <w:color w:val="auto"/>
              </w:rPr>
            </w:pPr>
          </w:p>
        </w:tc>
      </w:tr>
      <w:tr>
        <w:trPr>
          <w:trHeight w:val="266"/>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shareholders</w:t>
            </w:r>
          </w:p>
        </w:tc>
        <w:tc>
          <w:tcPr>
            <w:tcW w:w="1320" w:type="dxa"/>
            <w:vAlign w:val="bottom"/>
            <w:tcBorders>
              <w:bottom w:val="single" w:sz="8" w:color="auto"/>
            </w:tcBorders>
            <w:vMerge w:val="continue"/>
          </w:tcPr>
          <w:p>
            <w:pPr>
              <w:spacing w:after="0"/>
              <w:rPr>
                <w:sz w:val="22"/>
                <w:szCs w:val="22"/>
                <w:color w:val="auto"/>
              </w:rPr>
            </w:pPr>
          </w:p>
        </w:tc>
        <w:tc>
          <w:tcPr>
            <w:tcW w:w="680" w:type="dxa"/>
            <w:vAlign w:val="bottom"/>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income per share</w:t>
            </w: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23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attributable to Yuanbao</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Inc.’s ordinary</w:t>
            </w: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shareholders</w:t>
            </w: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Basic</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c>
          <w:tcPr>
            <w:tcW w:w="680" w:type="dxa"/>
            <w:vAlign w:val="bottom"/>
          </w:tcPr>
          <w:p>
            <w:pPr>
              <w:spacing w:after="0"/>
              <w:rPr>
                <w:sz w:val="24"/>
                <w:szCs w:val="24"/>
                <w:color w:val="auto"/>
              </w:rPr>
            </w:pP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1.25</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0.18</w:t>
            </w: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w:t>
            </w:r>
          </w:p>
        </w:tc>
        <w:tc>
          <w:tcPr>
            <w:tcW w:w="340" w:type="dxa"/>
            <w:vAlign w:val="bottom"/>
          </w:tcPr>
          <w:p>
            <w:pPr>
              <w:spacing w:after="0"/>
              <w:rPr>
                <w:sz w:val="24"/>
                <w:szCs w:val="24"/>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9.29</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0" w:type="dxa"/>
            <w:vAlign w:val="bottom"/>
          </w:tcPr>
          <w:p>
            <w:pPr>
              <w:spacing w:after="0"/>
              <w:rPr>
                <w:sz w:val="1"/>
                <w:szCs w:val="1"/>
                <w:color w:val="auto"/>
              </w:rPr>
            </w:pPr>
          </w:p>
        </w:tc>
      </w:tr>
    </w:tbl>
    <w:p>
      <w:pPr>
        <w:sectPr>
          <w:pgSz w:w="11900" w:h="16903" w:orient="portrait"/>
          <w:cols w:equalWidth="0" w:num="1">
            <w:col w:w="11220"/>
          </w:cols>
          <w:pgMar w:left="340" w:top="1148"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Diluted</w:t>
            </w:r>
          </w:p>
        </w:tc>
        <w:tc>
          <w:tcPr>
            <w:tcW w:w="16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1.07</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0.17</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3.19</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4.57</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0.65</w:t>
            </w:r>
          </w:p>
        </w:tc>
      </w:tr>
      <w:tr>
        <w:trPr>
          <w:trHeight w:val="497"/>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per ADS</w:t>
            </w:r>
            <w:r>
              <w:rPr>
                <w:rFonts w:ascii="Times New Roman" w:cs="Times New Roman" w:eastAsia="Times New Roman" w:hAnsi="Times New Roman"/>
                <w:sz w:val="22"/>
                <w:szCs w:val="22"/>
                <w:color w:val="auto"/>
              </w:rPr>
              <w:t>**</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2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attributable to Yuanbao</w:t>
            </w: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2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Inc.’s ordinary</w:t>
            </w: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shareholders</w:t>
            </w:r>
          </w:p>
        </w:tc>
        <w:tc>
          <w:tcPr>
            <w:tcW w:w="16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23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Basic</w:t>
            </w:r>
          </w:p>
        </w:tc>
        <w:tc>
          <w:tcPr>
            <w:tcW w:w="16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11.02</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1.07</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26.07</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55.72</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7.97</w:t>
            </w:r>
          </w:p>
        </w:tc>
      </w:tr>
      <w:tr>
        <w:trPr>
          <w:trHeight w:val="282"/>
        </w:trPr>
        <w:tc>
          <w:tcPr>
            <w:tcW w:w="23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Diluted</w:t>
            </w:r>
          </w:p>
        </w:tc>
        <w:tc>
          <w:tcPr>
            <w:tcW w:w="16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6.43</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6.96</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1.00</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19.15</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27.44</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3.92</w:t>
            </w:r>
          </w:p>
        </w:tc>
      </w:tr>
      <w:tr>
        <w:trPr>
          <w:trHeight w:val="497"/>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Weighted average</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2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number of ordinary</w:t>
            </w: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2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shares used in</w:t>
            </w: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2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computing net income</w:t>
            </w: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 share</w:t>
            </w:r>
          </w:p>
        </w:tc>
        <w:tc>
          <w:tcPr>
            <w:tcW w:w="16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23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Basic</w:t>
            </w:r>
          </w:p>
        </w:tc>
        <w:tc>
          <w:tcPr>
            <w:tcW w:w="16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106,343,625</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270,192,931</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270,192,931</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100,343,557</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216,250,148</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216,250,148</w:t>
            </w:r>
          </w:p>
        </w:tc>
      </w:tr>
      <w:tr>
        <w:trPr>
          <w:trHeight w:val="282"/>
        </w:trPr>
        <w:tc>
          <w:tcPr>
            <w:tcW w:w="23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Diluted</w:t>
            </w:r>
          </w:p>
        </w:tc>
        <w:tc>
          <w:tcPr>
            <w:tcW w:w="16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272,853,124</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290,760,903</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290,760,903</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271,314,436</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285,902,414</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285,902,414</w:t>
            </w:r>
          </w:p>
        </w:tc>
      </w:tr>
      <w:tr>
        <w:trPr>
          <w:trHeight w:val="731"/>
        </w:trPr>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8"/>
        </w:trPr>
        <w:tc>
          <w:tcPr>
            <w:tcW w:w="234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2"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OPERATIONS</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color w:val="auto"/>
        </w:rPr>
        <w:t>AND COMPREHENSIVE INCOME (CONTINUED)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(All amounts in thousands, except for share, per share data, ADS and per ADS data)</w:t>
      </w:r>
    </w:p>
    <w:p>
      <w:pPr>
        <w:spacing w:after="0" w:line="277"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*Share-based compensation expenses are included in the operating costs and expenses as follows</w:t>
      </w:r>
      <w:r>
        <w:rPr>
          <w:rFonts w:ascii="MS PGothic" w:cs="MS PGothic" w:eastAsia="MS PGothic" w:hAnsi="MS PGothic"/>
          <w:sz w:val="22"/>
          <w:szCs w:val="22"/>
          <w:color w:val="auto"/>
        </w:rPr>
        <w: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60" w:type="dxa"/>
            <w:vAlign w:val="bottom"/>
          </w:tcPr>
          <w:p>
            <w:pPr>
              <w:spacing w:after="0"/>
              <w:rPr>
                <w:sz w:val="24"/>
                <w:szCs w:val="24"/>
                <w:color w:val="auto"/>
              </w:rPr>
            </w:pPr>
          </w:p>
        </w:tc>
        <w:tc>
          <w:tcPr>
            <w:tcW w:w="4280" w:type="dxa"/>
            <w:vAlign w:val="bottom"/>
            <w:gridSpan w:val="5"/>
          </w:tcPr>
          <w:p>
            <w:pPr>
              <w:ind w:left="78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298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For the year ended,</w:t>
            </w:r>
          </w:p>
        </w:tc>
        <w:tc>
          <w:tcPr>
            <w:tcW w:w="900" w:type="dxa"/>
            <w:vAlign w:val="bottom"/>
          </w:tcPr>
          <w:p>
            <w:pPr>
              <w:spacing w:after="0"/>
              <w:rPr>
                <w:sz w:val="24"/>
                <w:szCs w:val="24"/>
                <w:color w:val="auto"/>
              </w:rPr>
            </w:pPr>
          </w:p>
        </w:tc>
      </w:tr>
      <w:tr>
        <w:trPr>
          <w:trHeight w:val="220"/>
        </w:trPr>
        <w:tc>
          <w:tcPr>
            <w:tcW w:w="3060" w:type="dxa"/>
            <w:vAlign w:val="bottom"/>
          </w:tcPr>
          <w:p>
            <w:pPr>
              <w:spacing w:after="0"/>
              <w:rPr>
                <w:sz w:val="19"/>
                <w:szCs w:val="19"/>
                <w:color w:val="auto"/>
              </w:rPr>
            </w:pPr>
          </w:p>
        </w:tc>
        <w:tc>
          <w:tcPr>
            <w:tcW w:w="1820" w:type="dxa"/>
            <w:vAlign w:val="bottom"/>
            <w:tcBorders>
              <w:top w:val="single" w:sz="8" w:color="auto"/>
            </w:tcBorders>
            <w:gridSpan w:val="2"/>
          </w:tcPr>
          <w:p>
            <w:pPr>
              <w:jc w:val="center"/>
              <w:ind w:right="440"/>
              <w:spacing w:after="0" w:line="220"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360" w:type="dxa"/>
            <w:vAlign w:val="bottom"/>
            <w:tcBorders>
              <w:top w:val="single" w:sz="8" w:color="auto"/>
            </w:tcBorders>
            <w:gridSpan w:val="2"/>
          </w:tcPr>
          <w:p>
            <w:pPr>
              <w:jc w:val="right"/>
              <w:ind w:right="432"/>
              <w:spacing w:after="0" w:line="220" w:lineRule="exact"/>
              <w:rPr>
                <w:sz w:val="20"/>
                <w:szCs w:val="20"/>
                <w:color w:val="auto"/>
              </w:rPr>
            </w:pPr>
            <w:r>
              <w:rPr>
                <w:rFonts w:ascii="Times New Roman" w:cs="Times New Roman" w:eastAsia="Times New Roman" w:hAnsi="Times New Roman"/>
                <w:sz w:val="22"/>
                <w:szCs w:val="22"/>
                <w:b w:val="1"/>
                <w:bCs w:val="1"/>
                <w:color w:val="auto"/>
              </w:rPr>
              <w:t>December 31,</w:t>
            </w:r>
          </w:p>
        </w:tc>
        <w:tc>
          <w:tcPr>
            <w:tcW w:w="100" w:type="dxa"/>
            <w:vAlign w:val="bottom"/>
          </w:tcPr>
          <w:p>
            <w:pPr>
              <w:spacing w:after="0"/>
              <w:rPr>
                <w:sz w:val="19"/>
                <w:szCs w:val="19"/>
                <w:color w:val="auto"/>
              </w:rPr>
            </w:pPr>
          </w:p>
        </w:tc>
        <w:tc>
          <w:tcPr>
            <w:tcW w:w="1500" w:type="dxa"/>
            <w:vAlign w:val="bottom"/>
            <w:tcBorders>
              <w:top w:val="single" w:sz="8" w:color="auto"/>
            </w:tcBorders>
            <w:gridSpan w:val="2"/>
          </w:tcPr>
          <w:p>
            <w:pPr>
              <w:jc w:val="center"/>
              <w:ind w:right="80"/>
              <w:spacing w:after="0" w:line="220"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380" w:type="dxa"/>
            <w:vAlign w:val="bottom"/>
            <w:tcBorders>
              <w:top w:val="single" w:sz="8" w:color="auto"/>
            </w:tcBorders>
            <w:gridSpan w:val="2"/>
          </w:tcPr>
          <w:p>
            <w:pPr>
              <w:jc w:val="right"/>
              <w:ind w:right="452"/>
              <w:spacing w:after="0" w:line="220" w:lineRule="exact"/>
              <w:rPr>
                <w:sz w:val="20"/>
                <w:szCs w:val="20"/>
                <w:color w:val="auto"/>
              </w:rPr>
            </w:pPr>
            <w:r>
              <w:rPr>
                <w:rFonts w:ascii="Times New Roman" w:cs="Times New Roman" w:eastAsia="Times New Roman" w:hAnsi="Times New Roman"/>
                <w:sz w:val="22"/>
                <w:szCs w:val="22"/>
                <w:b w:val="1"/>
                <w:bCs w:val="1"/>
                <w:color w:val="auto"/>
              </w:rPr>
              <w:t>December 31,</w:t>
            </w:r>
          </w:p>
        </w:tc>
      </w:tr>
      <w:tr>
        <w:trPr>
          <w:trHeight w:val="286"/>
        </w:trPr>
        <w:tc>
          <w:tcPr>
            <w:tcW w:w="306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2024</w:t>
            </w:r>
          </w:p>
        </w:tc>
        <w:tc>
          <w:tcPr>
            <w:tcW w:w="4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900" w:type="dxa"/>
            <w:vAlign w:val="bottom"/>
            <w:tcBorders>
              <w:bottom w:val="single" w:sz="8" w:color="auto"/>
            </w:tcBorders>
          </w:tcPr>
          <w:p>
            <w:pPr>
              <w:spacing w:after="0"/>
              <w:rPr>
                <w:sz w:val="24"/>
                <w:szCs w:val="24"/>
                <w:color w:val="auto"/>
              </w:rPr>
            </w:pPr>
          </w:p>
        </w:tc>
      </w:tr>
      <w:tr>
        <w:trPr>
          <w:trHeight w:val="251"/>
        </w:trPr>
        <w:tc>
          <w:tcPr>
            <w:tcW w:w="3060" w:type="dxa"/>
            <w:vAlign w:val="bottom"/>
          </w:tcPr>
          <w:p>
            <w:pPr>
              <w:spacing w:after="0"/>
              <w:rPr>
                <w:sz w:val="21"/>
                <w:szCs w:val="21"/>
                <w:color w:val="auto"/>
              </w:rPr>
            </w:pPr>
          </w:p>
        </w:tc>
        <w:tc>
          <w:tcPr>
            <w:tcW w:w="1380" w:type="dxa"/>
            <w:vAlign w:val="bottom"/>
          </w:tcPr>
          <w:p>
            <w:pPr>
              <w:jc w:val="center"/>
              <w:spacing w:after="0" w:line="251" w:lineRule="exact"/>
              <w:rPr>
                <w:sz w:val="20"/>
                <w:szCs w:val="20"/>
                <w:color w:val="auto"/>
              </w:rPr>
            </w:pPr>
            <w:r>
              <w:rPr>
                <w:rFonts w:ascii="Times New Roman" w:cs="Times New Roman" w:eastAsia="Times New Roman" w:hAnsi="Times New Roman"/>
                <w:sz w:val="22"/>
                <w:szCs w:val="22"/>
                <w:b w:val="1"/>
                <w:bCs w:val="1"/>
                <w:color w:val="auto"/>
                <w:w w:val="97"/>
              </w:rPr>
              <w:t>RMB</w:t>
            </w:r>
          </w:p>
        </w:tc>
        <w:tc>
          <w:tcPr>
            <w:tcW w:w="440" w:type="dxa"/>
            <w:vAlign w:val="bottom"/>
          </w:tcPr>
          <w:p>
            <w:pPr>
              <w:spacing w:after="0"/>
              <w:rPr>
                <w:sz w:val="21"/>
                <w:szCs w:val="21"/>
                <w:color w:val="auto"/>
              </w:rPr>
            </w:pPr>
          </w:p>
        </w:tc>
        <w:tc>
          <w:tcPr>
            <w:tcW w:w="1480" w:type="dxa"/>
            <w:vAlign w:val="bottom"/>
          </w:tcPr>
          <w:p>
            <w:pPr>
              <w:jc w:val="right"/>
              <w:ind w:right="532"/>
              <w:spacing w:after="0" w:line="251" w:lineRule="exact"/>
              <w:rPr>
                <w:sz w:val="20"/>
                <w:szCs w:val="20"/>
                <w:color w:val="auto"/>
              </w:rPr>
            </w:pPr>
            <w:r>
              <w:rPr>
                <w:rFonts w:ascii="Times New Roman" w:cs="Times New Roman" w:eastAsia="Times New Roman" w:hAnsi="Times New Roman"/>
                <w:sz w:val="22"/>
                <w:szCs w:val="22"/>
                <w:b w:val="1"/>
                <w:bCs w:val="1"/>
                <w:color w:val="auto"/>
              </w:rPr>
              <w:t>RMB</w:t>
            </w:r>
          </w:p>
        </w:tc>
        <w:tc>
          <w:tcPr>
            <w:tcW w:w="880" w:type="dxa"/>
            <w:vAlign w:val="bottom"/>
          </w:tcPr>
          <w:p>
            <w:pPr>
              <w:jc w:val="right"/>
              <w:ind w:right="272"/>
              <w:spacing w:after="0" w:line="251" w:lineRule="exact"/>
              <w:rPr>
                <w:sz w:val="20"/>
                <w:szCs w:val="20"/>
                <w:color w:val="auto"/>
              </w:rPr>
            </w:pPr>
            <w:r>
              <w:rPr>
                <w:rFonts w:ascii="Times New Roman" w:cs="Times New Roman" w:eastAsia="Times New Roman" w:hAnsi="Times New Roman"/>
                <w:sz w:val="22"/>
                <w:szCs w:val="22"/>
                <w:b w:val="1"/>
                <w:bCs w:val="1"/>
                <w:color w:val="auto"/>
              </w:rPr>
              <w:t>USD</w:t>
            </w:r>
          </w:p>
        </w:tc>
        <w:tc>
          <w:tcPr>
            <w:tcW w:w="100" w:type="dxa"/>
            <w:vAlign w:val="bottom"/>
          </w:tcPr>
          <w:p>
            <w:pPr>
              <w:spacing w:after="0"/>
              <w:rPr>
                <w:sz w:val="21"/>
                <w:szCs w:val="21"/>
                <w:color w:val="auto"/>
              </w:rPr>
            </w:pPr>
          </w:p>
        </w:tc>
        <w:tc>
          <w:tcPr>
            <w:tcW w:w="1400" w:type="dxa"/>
            <w:vAlign w:val="bottom"/>
          </w:tcPr>
          <w:p>
            <w:pPr>
              <w:jc w:val="center"/>
              <w:spacing w:after="0" w:line="251" w:lineRule="exact"/>
              <w:rPr>
                <w:sz w:val="20"/>
                <w:szCs w:val="20"/>
                <w:color w:val="auto"/>
              </w:rPr>
            </w:pPr>
            <w:r>
              <w:rPr>
                <w:rFonts w:ascii="Times New Roman" w:cs="Times New Roman" w:eastAsia="Times New Roman" w:hAnsi="Times New Roman"/>
                <w:sz w:val="22"/>
                <w:szCs w:val="22"/>
                <w:b w:val="1"/>
                <w:bCs w:val="1"/>
                <w:color w:val="auto"/>
              </w:rPr>
              <w:t>RMB</w:t>
            </w:r>
          </w:p>
        </w:tc>
        <w:tc>
          <w:tcPr>
            <w:tcW w:w="100" w:type="dxa"/>
            <w:vAlign w:val="bottom"/>
          </w:tcPr>
          <w:p>
            <w:pPr>
              <w:spacing w:after="0"/>
              <w:rPr>
                <w:sz w:val="21"/>
                <w:szCs w:val="21"/>
                <w:color w:val="auto"/>
              </w:rPr>
            </w:pPr>
          </w:p>
        </w:tc>
        <w:tc>
          <w:tcPr>
            <w:tcW w:w="1480" w:type="dxa"/>
            <w:vAlign w:val="bottom"/>
          </w:tcPr>
          <w:p>
            <w:pPr>
              <w:jc w:val="right"/>
              <w:ind w:right="532"/>
              <w:spacing w:after="0" w:line="251" w:lineRule="exact"/>
              <w:rPr>
                <w:sz w:val="20"/>
                <w:szCs w:val="20"/>
                <w:color w:val="auto"/>
              </w:rPr>
            </w:pPr>
            <w:r>
              <w:rPr>
                <w:rFonts w:ascii="Times New Roman" w:cs="Times New Roman" w:eastAsia="Times New Roman" w:hAnsi="Times New Roman"/>
                <w:sz w:val="22"/>
                <w:szCs w:val="22"/>
                <w:b w:val="1"/>
                <w:bCs w:val="1"/>
                <w:color w:val="auto"/>
              </w:rPr>
              <w:t>RMB</w:t>
            </w:r>
          </w:p>
        </w:tc>
        <w:tc>
          <w:tcPr>
            <w:tcW w:w="900" w:type="dxa"/>
            <w:vAlign w:val="bottom"/>
          </w:tcPr>
          <w:p>
            <w:pPr>
              <w:jc w:val="right"/>
              <w:ind w:right="272"/>
              <w:spacing w:after="0" w:line="251" w:lineRule="exact"/>
              <w:rPr>
                <w:sz w:val="20"/>
                <w:szCs w:val="20"/>
                <w:color w:val="auto"/>
              </w:rPr>
            </w:pPr>
            <w:r>
              <w:rPr>
                <w:rFonts w:ascii="Times New Roman" w:cs="Times New Roman" w:eastAsia="Times New Roman" w:hAnsi="Times New Roman"/>
                <w:sz w:val="22"/>
                <w:szCs w:val="22"/>
                <w:b w:val="1"/>
                <w:bCs w:val="1"/>
                <w:color w:val="auto"/>
              </w:rPr>
              <w:t>USD</w:t>
            </w: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Operations and support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440" w:type="dxa"/>
            <w:vAlign w:val="bottom"/>
          </w:tcPr>
          <w:p>
            <w:pPr>
              <w:spacing w:after="0"/>
              <w:rPr>
                <w:sz w:val="23"/>
                <w:szCs w:val="23"/>
                <w:color w:val="auto"/>
              </w:rPr>
            </w:pP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100" w:type="dxa"/>
            <w:vAlign w:val="bottom"/>
          </w:tcPr>
          <w:p>
            <w:pPr>
              <w:spacing w:after="0"/>
              <w:rPr>
                <w:sz w:val="23"/>
                <w:szCs w:val="23"/>
                <w:color w:val="auto"/>
              </w:rPr>
            </w:pP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(39)</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43"/>
        </w:trPr>
        <w:tc>
          <w:tcPr>
            <w:tcW w:w="3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Selling and marketing</w:t>
            </w: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(4,069)</w:t>
            </w:r>
          </w:p>
        </w:tc>
        <w:tc>
          <w:tcPr>
            <w:tcW w:w="440" w:type="dxa"/>
            <w:vAlign w:val="bottom"/>
          </w:tcPr>
          <w:p>
            <w:pPr>
              <w:spacing w:after="0"/>
              <w:rPr>
                <w:sz w:val="23"/>
                <w:szCs w:val="23"/>
                <w:color w:val="auto"/>
              </w:rPr>
            </w:pP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(3,034)</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(14,222)</w:t>
            </w:r>
          </w:p>
        </w:tc>
        <w:tc>
          <w:tcPr>
            <w:tcW w:w="100" w:type="dxa"/>
            <w:vAlign w:val="bottom"/>
          </w:tcPr>
          <w:p>
            <w:pPr>
              <w:spacing w:after="0"/>
              <w:rPr>
                <w:sz w:val="23"/>
                <w:szCs w:val="23"/>
                <w:color w:val="auto"/>
              </w:rPr>
            </w:pP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(13,520)</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(1,933)</w:t>
            </w:r>
          </w:p>
        </w:tc>
      </w:tr>
      <w:tr>
        <w:trPr>
          <w:trHeight w:val="243"/>
        </w:trPr>
        <w:tc>
          <w:tcPr>
            <w:tcW w:w="3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General and administrative</w:t>
            </w: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(9,836)</w:t>
            </w:r>
          </w:p>
        </w:tc>
        <w:tc>
          <w:tcPr>
            <w:tcW w:w="440" w:type="dxa"/>
            <w:vAlign w:val="bottom"/>
          </w:tcPr>
          <w:p>
            <w:pPr>
              <w:spacing w:after="0"/>
              <w:rPr>
                <w:sz w:val="23"/>
                <w:szCs w:val="23"/>
                <w:color w:val="auto"/>
              </w:rPr>
            </w:pP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(8,872)</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(1,269)</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(34,404)</w:t>
            </w:r>
          </w:p>
        </w:tc>
        <w:tc>
          <w:tcPr>
            <w:tcW w:w="100" w:type="dxa"/>
            <w:vAlign w:val="bottom"/>
          </w:tcPr>
          <w:p>
            <w:pPr>
              <w:spacing w:after="0"/>
              <w:rPr>
                <w:sz w:val="23"/>
                <w:szCs w:val="23"/>
                <w:color w:val="auto"/>
              </w:rPr>
            </w:pP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(37,674)</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(5,387)</w:t>
            </w:r>
          </w:p>
        </w:tc>
      </w:tr>
      <w:tr>
        <w:trPr>
          <w:trHeight w:val="243"/>
        </w:trPr>
        <w:tc>
          <w:tcPr>
            <w:tcW w:w="3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Research and development</w:t>
            </w: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(6,815)</w:t>
            </w:r>
          </w:p>
        </w:tc>
        <w:tc>
          <w:tcPr>
            <w:tcW w:w="440" w:type="dxa"/>
            <w:vAlign w:val="bottom"/>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(5,197)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(743)</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(15,362)</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(23,086)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(3,301)</w:t>
            </w:r>
          </w:p>
        </w:tc>
      </w:tr>
      <w:tr>
        <w:trPr>
          <w:trHeight w:val="281"/>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(20,733)</w:t>
            </w:r>
          </w:p>
        </w:tc>
        <w:tc>
          <w:tcPr>
            <w:tcW w:w="4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(17,111)</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(2,447)</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(64,017)</w:t>
            </w:r>
          </w:p>
        </w:tc>
        <w:tc>
          <w:tcPr>
            <w:tcW w:w="100" w:type="dxa"/>
            <w:vAlign w:val="bottom"/>
          </w:tcPr>
          <w:p>
            <w:pPr>
              <w:spacing w:after="0"/>
              <w:rPr>
                <w:sz w:val="24"/>
                <w:szCs w:val="24"/>
                <w:color w:val="auto"/>
              </w:rPr>
            </w:pP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(74,319)</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(10,627)</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ADS represents six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1148"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RECONCILIATIONS OF GAAP AND NON-GAAP RESULTS (UNAUDITED)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(All amounts in thousands, unless otherwise noted)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80" w:type="dxa"/>
            <w:vAlign w:val="bottom"/>
          </w:tcPr>
          <w:p>
            <w:pPr>
              <w:spacing w:after="0"/>
              <w:rPr>
                <w:sz w:val="24"/>
                <w:szCs w:val="24"/>
                <w:color w:val="auto"/>
              </w:rPr>
            </w:pPr>
          </w:p>
        </w:tc>
        <w:tc>
          <w:tcPr>
            <w:tcW w:w="3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For the year ended,</w:t>
            </w:r>
          </w:p>
        </w:tc>
        <w:tc>
          <w:tcPr>
            <w:tcW w:w="820" w:type="dxa"/>
            <w:vAlign w:val="bottom"/>
            <w:tcBorders>
              <w:bottom w:val="single" w:sz="8" w:color="auto"/>
            </w:tcBorders>
          </w:tcPr>
          <w:p>
            <w:pPr>
              <w:spacing w:after="0"/>
              <w:rPr>
                <w:sz w:val="24"/>
                <w:szCs w:val="24"/>
                <w:color w:val="auto"/>
              </w:rPr>
            </w:pPr>
          </w:p>
        </w:tc>
      </w:tr>
      <w:tr>
        <w:trPr>
          <w:trHeight w:val="220"/>
        </w:trPr>
        <w:tc>
          <w:tcPr>
            <w:tcW w:w="3080" w:type="dxa"/>
            <w:vAlign w:val="bottom"/>
          </w:tcPr>
          <w:p>
            <w:pPr>
              <w:spacing w:after="0"/>
              <w:rPr>
                <w:sz w:val="19"/>
                <w:szCs w:val="19"/>
                <w:color w:val="auto"/>
              </w:rPr>
            </w:pPr>
          </w:p>
        </w:tc>
        <w:tc>
          <w:tcPr>
            <w:tcW w:w="2020" w:type="dxa"/>
            <w:vAlign w:val="bottom"/>
            <w:gridSpan w:val="2"/>
          </w:tcPr>
          <w:p>
            <w:pPr>
              <w:jc w:val="center"/>
              <w:ind w:right="440"/>
              <w:spacing w:after="0" w:line="220"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140" w:type="dxa"/>
            <w:vAlign w:val="bottom"/>
            <w:gridSpan w:val="2"/>
          </w:tcPr>
          <w:p>
            <w:pPr>
              <w:jc w:val="right"/>
              <w:ind w:right="332"/>
              <w:spacing w:after="0" w:line="220" w:lineRule="exact"/>
              <w:rPr>
                <w:sz w:val="20"/>
                <w:szCs w:val="20"/>
                <w:color w:val="auto"/>
              </w:rPr>
            </w:pPr>
            <w:r>
              <w:rPr>
                <w:rFonts w:ascii="Times New Roman" w:cs="Times New Roman" w:eastAsia="Times New Roman" w:hAnsi="Times New Roman"/>
                <w:sz w:val="22"/>
                <w:szCs w:val="22"/>
                <w:b w:val="1"/>
                <w:bCs w:val="1"/>
                <w:color w:val="auto"/>
              </w:rPr>
              <w:t>December 31,</w:t>
            </w:r>
          </w:p>
        </w:tc>
        <w:tc>
          <w:tcPr>
            <w:tcW w:w="100" w:type="dxa"/>
            <w:vAlign w:val="bottom"/>
          </w:tcPr>
          <w:p>
            <w:pPr>
              <w:spacing w:after="0"/>
              <w:rPr>
                <w:sz w:val="19"/>
                <w:szCs w:val="19"/>
                <w:color w:val="auto"/>
              </w:rPr>
            </w:pPr>
          </w:p>
        </w:tc>
        <w:tc>
          <w:tcPr>
            <w:tcW w:w="1700" w:type="dxa"/>
            <w:vAlign w:val="bottom"/>
            <w:gridSpan w:val="2"/>
          </w:tcPr>
          <w:p>
            <w:pPr>
              <w:jc w:val="center"/>
              <w:ind w:right="80"/>
              <w:spacing w:after="0" w:line="220" w:lineRule="exact"/>
              <w:rPr>
                <w:sz w:val="20"/>
                <w:szCs w:val="20"/>
                <w:color w:val="auto"/>
              </w:rPr>
            </w:pPr>
            <w:r>
              <w:rPr>
                <w:rFonts w:ascii="Times New Roman" w:cs="Times New Roman" w:eastAsia="Times New Roman" w:hAnsi="Times New Roman"/>
                <w:sz w:val="22"/>
                <w:szCs w:val="22"/>
                <w:b w:val="1"/>
                <w:bCs w:val="1"/>
                <w:color w:val="auto"/>
                <w:w w:val="98"/>
              </w:rPr>
              <w:t>December 31,</w:t>
            </w:r>
          </w:p>
        </w:tc>
        <w:tc>
          <w:tcPr>
            <w:tcW w:w="2180" w:type="dxa"/>
            <w:vAlign w:val="bottom"/>
            <w:gridSpan w:val="2"/>
          </w:tcPr>
          <w:p>
            <w:pPr>
              <w:jc w:val="right"/>
              <w:ind w:right="352"/>
              <w:spacing w:after="0" w:line="220" w:lineRule="exact"/>
              <w:rPr>
                <w:sz w:val="20"/>
                <w:szCs w:val="20"/>
                <w:color w:val="auto"/>
              </w:rPr>
            </w:pPr>
            <w:r>
              <w:rPr>
                <w:rFonts w:ascii="Times New Roman" w:cs="Times New Roman" w:eastAsia="Times New Roman" w:hAnsi="Times New Roman"/>
                <w:sz w:val="22"/>
                <w:szCs w:val="22"/>
                <w:b w:val="1"/>
                <w:bCs w:val="1"/>
                <w:color w:val="auto"/>
              </w:rPr>
              <w:t>December 31,</w:t>
            </w:r>
          </w:p>
        </w:tc>
      </w:tr>
      <w:tr>
        <w:trPr>
          <w:trHeight w:val="286"/>
        </w:trPr>
        <w:tc>
          <w:tcPr>
            <w:tcW w:w="308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2024</w:t>
            </w:r>
          </w:p>
        </w:tc>
        <w:tc>
          <w:tcPr>
            <w:tcW w:w="44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820" w:type="dxa"/>
            <w:vAlign w:val="bottom"/>
            <w:tcBorders>
              <w:bottom w:val="single" w:sz="8" w:color="auto"/>
            </w:tcBorders>
          </w:tcPr>
          <w:p>
            <w:pPr>
              <w:spacing w:after="0"/>
              <w:rPr>
                <w:sz w:val="24"/>
                <w:szCs w:val="24"/>
                <w:color w:val="auto"/>
              </w:rPr>
            </w:pPr>
          </w:p>
        </w:tc>
      </w:tr>
      <w:tr>
        <w:trPr>
          <w:trHeight w:val="251"/>
        </w:trPr>
        <w:tc>
          <w:tcPr>
            <w:tcW w:w="3080" w:type="dxa"/>
            <w:vAlign w:val="bottom"/>
          </w:tcPr>
          <w:p>
            <w:pPr>
              <w:spacing w:after="0"/>
              <w:rPr>
                <w:sz w:val="21"/>
                <w:szCs w:val="21"/>
                <w:color w:val="auto"/>
              </w:rPr>
            </w:pPr>
          </w:p>
        </w:tc>
        <w:tc>
          <w:tcPr>
            <w:tcW w:w="1580" w:type="dxa"/>
            <w:vAlign w:val="bottom"/>
          </w:tcPr>
          <w:p>
            <w:pPr>
              <w:jc w:val="center"/>
              <w:spacing w:after="0" w:line="251" w:lineRule="exact"/>
              <w:rPr>
                <w:sz w:val="20"/>
                <w:szCs w:val="20"/>
                <w:color w:val="auto"/>
              </w:rPr>
            </w:pPr>
            <w:r>
              <w:rPr>
                <w:rFonts w:ascii="Times New Roman" w:cs="Times New Roman" w:eastAsia="Times New Roman" w:hAnsi="Times New Roman"/>
                <w:sz w:val="22"/>
                <w:szCs w:val="22"/>
                <w:b w:val="1"/>
                <w:bCs w:val="1"/>
                <w:color w:val="auto"/>
                <w:w w:val="97"/>
              </w:rPr>
              <w:t>RMB</w:t>
            </w:r>
          </w:p>
        </w:tc>
        <w:tc>
          <w:tcPr>
            <w:tcW w:w="440" w:type="dxa"/>
            <w:vAlign w:val="bottom"/>
          </w:tcPr>
          <w:p>
            <w:pPr>
              <w:spacing w:after="0"/>
              <w:rPr>
                <w:sz w:val="21"/>
                <w:szCs w:val="21"/>
                <w:color w:val="auto"/>
              </w:rPr>
            </w:pPr>
          </w:p>
        </w:tc>
        <w:tc>
          <w:tcPr>
            <w:tcW w:w="1380" w:type="dxa"/>
            <w:vAlign w:val="bottom"/>
          </w:tcPr>
          <w:p>
            <w:pPr>
              <w:jc w:val="right"/>
              <w:ind w:right="492"/>
              <w:spacing w:after="0" w:line="251" w:lineRule="exact"/>
              <w:rPr>
                <w:sz w:val="20"/>
                <w:szCs w:val="20"/>
                <w:color w:val="auto"/>
              </w:rPr>
            </w:pPr>
            <w:r>
              <w:rPr>
                <w:rFonts w:ascii="Times New Roman" w:cs="Times New Roman" w:eastAsia="Times New Roman" w:hAnsi="Times New Roman"/>
                <w:sz w:val="22"/>
                <w:szCs w:val="22"/>
                <w:b w:val="1"/>
                <w:bCs w:val="1"/>
                <w:color w:val="auto"/>
              </w:rPr>
              <w:t>RMB</w:t>
            </w:r>
          </w:p>
        </w:tc>
        <w:tc>
          <w:tcPr>
            <w:tcW w:w="760" w:type="dxa"/>
            <w:vAlign w:val="bottom"/>
          </w:tcPr>
          <w:p>
            <w:pPr>
              <w:jc w:val="right"/>
              <w:ind w:right="212"/>
              <w:spacing w:after="0" w:line="251" w:lineRule="exact"/>
              <w:rPr>
                <w:sz w:val="20"/>
                <w:szCs w:val="20"/>
                <w:color w:val="auto"/>
              </w:rPr>
            </w:pPr>
            <w:r>
              <w:rPr>
                <w:rFonts w:ascii="Times New Roman" w:cs="Times New Roman" w:eastAsia="Times New Roman" w:hAnsi="Times New Roman"/>
                <w:sz w:val="22"/>
                <w:szCs w:val="22"/>
                <w:b w:val="1"/>
                <w:bCs w:val="1"/>
                <w:color w:val="auto"/>
                <w:w w:val="95"/>
              </w:rPr>
              <w:t>USD</w:t>
            </w:r>
          </w:p>
        </w:tc>
        <w:tc>
          <w:tcPr>
            <w:tcW w:w="100" w:type="dxa"/>
            <w:vAlign w:val="bottom"/>
          </w:tcPr>
          <w:p>
            <w:pPr>
              <w:spacing w:after="0"/>
              <w:rPr>
                <w:sz w:val="21"/>
                <w:szCs w:val="21"/>
                <w:color w:val="auto"/>
              </w:rPr>
            </w:pPr>
          </w:p>
        </w:tc>
        <w:tc>
          <w:tcPr>
            <w:tcW w:w="1600" w:type="dxa"/>
            <w:vAlign w:val="bottom"/>
          </w:tcPr>
          <w:p>
            <w:pPr>
              <w:jc w:val="center"/>
              <w:spacing w:after="0" w:line="251" w:lineRule="exact"/>
              <w:rPr>
                <w:sz w:val="20"/>
                <w:szCs w:val="20"/>
                <w:color w:val="auto"/>
              </w:rPr>
            </w:pPr>
            <w:r>
              <w:rPr>
                <w:rFonts w:ascii="Times New Roman" w:cs="Times New Roman" w:eastAsia="Times New Roman" w:hAnsi="Times New Roman"/>
                <w:sz w:val="22"/>
                <w:szCs w:val="22"/>
                <w:b w:val="1"/>
                <w:bCs w:val="1"/>
                <w:color w:val="auto"/>
                <w:w w:val="97"/>
              </w:rPr>
              <w:t>RMB</w:t>
            </w:r>
          </w:p>
        </w:tc>
        <w:tc>
          <w:tcPr>
            <w:tcW w:w="100" w:type="dxa"/>
            <w:vAlign w:val="bottom"/>
          </w:tcPr>
          <w:p>
            <w:pPr>
              <w:spacing w:after="0"/>
              <w:rPr>
                <w:sz w:val="21"/>
                <w:szCs w:val="21"/>
                <w:color w:val="auto"/>
              </w:rPr>
            </w:pPr>
          </w:p>
        </w:tc>
        <w:tc>
          <w:tcPr>
            <w:tcW w:w="1360" w:type="dxa"/>
            <w:vAlign w:val="bottom"/>
          </w:tcPr>
          <w:p>
            <w:pPr>
              <w:jc w:val="right"/>
              <w:ind w:right="452"/>
              <w:spacing w:after="0" w:line="251" w:lineRule="exact"/>
              <w:rPr>
                <w:sz w:val="20"/>
                <w:szCs w:val="20"/>
                <w:color w:val="auto"/>
              </w:rPr>
            </w:pPr>
            <w:r>
              <w:rPr>
                <w:rFonts w:ascii="Times New Roman" w:cs="Times New Roman" w:eastAsia="Times New Roman" w:hAnsi="Times New Roman"/>
                <w:sz w:val="22"/>
                <w:szCs w:val="22"/>
                <w:b w:val="1"/>
                <w:bCs w:val="1"/>
                <w:color w:val="auto"/>
              </w:rPr>
              <w:t>RMB</w:t>
            </w:r>
          </w:p>
        </w:tc>
        <w:tc>
          <w:tcPr>
            <w:tcW w:w="820" w:type="dxa"/>
            <w:vAlign w:val="bottom"/>
          </w:tcPr>
          <w:p>
            <w:pPr>
              <w:jc w:val="right"/>
              <w:ind w:right="212"/>
              <w:spacing w:after="0" w:line="251" w:lineRule="exact"/>
              <w:rPr>
                <w:sz w:val="20"/>
                <w:szCs w:val="20"/>
                <w:color w:val="auto"/>
              </w:rPr>
            </w:pPr>
            <w:r>
              <w:rPr>
                <w:rFonts w:ascii="Times New Roman" w:cs="Times New Roman" w:eastAsia="Times New Roman" w:hAnsi="Times New Roman"/>
                <w:sz w:val="22"/>
                <w:szCs w:val="22"/>
                <w:b w:val="1"/>
                <w:bCs w:val="1"/>
                <w:color w:val="auto"/>
              </w:rPr>
              <w:t>USD</w:t>
            </w:r>
          </w:p>
        </w:tc>
      </w:tr>
      <w:tr>
        <w:trPr>
          <w:trHeight w:val="270"/>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292,299</w:t>
            </w:r>
          </w:p>
        </w:tc>
        <w:tc>
          <w:tcPr>
            <w:tcW w:w="440" w:type="dxa"/>
            <w:vAlign w:val="bottom"/>
          </w:tcPr>
          <w:p>
            <w:pPr>
              <w:spacing w:after="0"/>
              <w:rPr>
                <w:sz w:val="23"/>
                <w:szCs w:val="23"/>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337,383</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48,245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865,846</w:t>
            </w:r>
          </w:p>
        </w:tc>
        <w:tc>
          <w:tcPr>
            <w:tcW w:w="100" w:type="dxa"/>
            <w:vAlign w:val="bottom"/>
          </w:tcPr>
          <w:p>
            <w:pPr>
              <w:spacing w:after="0"/>
              <w:rPr>
                <w:sz w:val="23"/>
                <w:szCs w:val="23"/>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1,307,540</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186,977</w:t>
            </w:r>
          </w:p>
        </w:tc>
      </w:tr>
      <w:tr>
        <w:trPr>
          <w:trHeight w:val="270"/>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Add:</w:t>
            </w:r>
          </w:p>
        </w:tc>
        <w:tc>
          <w:tcPr>
            <w:tcW w:w="1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3"/>
        </w:trPr>
        <w:tc>
          <w:tcPr>
            <w:tcW w:w="30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Share-based compensation</w:t>
            </w:r>
          </w:p>
        </w:tc>
        <w:tc>
          <w:tcPr>
            <w:tcW w:w="1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82"/>
        </w:trPr>
        <w:tc>
          <w:tcPr>
            <w:tcW w:w="30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20,733</w:t>
            </w:r>
          </w:p>
        </w:tc>
        <w:tc>
          <w:tcPr>
            <w:tcW w:w="440" w:type="dxa"/>
            <w:vAlign w:val="bottom"/>
          </w:tcPr>
          <w:p>
            <w:pPr>
              <w:spacing w:after="0"/>
              <w:rPr>
                <w:sz w:val="24"/>
                <w:szCs w:val="24"/>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17,111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2,447</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64,017</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74,319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10,627</w:t>
            </w:r>
          </w:p>
        </w:tc>
      </w:tr>
      <w:tr>
        <w:trPr>
          <w:trHeight w:val="207"/>
        </w:trPr>
        <w:tc>
          <w:tcPr>
            <w:tcW w:w="308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Non-GAAP adjusted net</w:t>
            </w: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86"/>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income</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313,032</w:t>
            </w:r>
          </w:p>
        </w:tc>
        <w:tc>
          <w:tcPr>
            <w:tcW w:w="440" w:type="dxa"/>
            <w:vAlign w:val="bottom"/>
          </w:tcPr>
          <w:p>
            <w:pPr>
              <w:spacing w:after="0"/>
              <w:rPr>
                <w:sz w:val="24"/>
                <w:szCs w:val="24"/>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354,494</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50,692</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929,863</w:t>
            </w:r>
          </w:p>
        </w:tc>
        <w:tc>
          <w:tcPr>
            <w:tcW w:w="10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1,381,859</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197,604</w:t>
            </w:r>
          </w:p>
        </w:tc>
      </w:tr>
    </w:tbl>
    <w:p>
      <w:pPr>
        <w:spacing w:after="0" w:line="1" w:lineRule="exact"/>
        <w:rPr>
          <w:sz w:val="20"/>
          <w:szCs w:val="20"/>
          <w:color w:val="auto"/>
        </w:rPr>
      </w:pPr>
    </w:p>
    <w:sectPr>
      <w:pgSz w:w="11900" w:h="16838" w:orient="portrait"/>
      <w:cols w:equalWidth="0" w:num="1">
        <w:col w:w="11220"/>
      </w:cols>
      <w:pgMar w:left="340" w:top="11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2026-03-18T08:11:05Z</dcterms:created>
  <dcterms:modified xsi:type="dcterms:W3CDTF">2026-03-18T08:11:05Z</dcterms:modified>
</cp:coreProperties>
</file>